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AF0F" w14:textId="77777777" w:rsidR="001D1D1A" w:rsidRPr="00174E49" w:rsidRDefault="001D1D1A" w:rsidP="001D1D1A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17365D"/>
        </w:tblBorders>
        <w:tblLook w:val="04A0" w:firstRow="1" w:lastRow="0" w:firstColumn="1" w:lastColumn="0" w:noHBand="0" w:noVBand="1"/>
      </w:tblPr>
      <w:tblGrid>
        <w:gridCol w:w="7209"/>
        <w:gridCol w:w="1853"/>
      </w:tblGrid>
      <w:tr w:rsidR="001D1D1A" w:rsidRPr="00F47242" w14:paraId="44E7C671" w14:textId="77777777" w:rsidTr="009C20BE">
        <w:tc>
          <w:tcPr>
            <w:tcW w:w="7338" w:type="dxa"/>
            <w:shd w:val="clear" w:color="auto" w:fill="DBE5F1"/>
          </w:tcPr>
          <w:p w14:paraId="3EC4A88B" w14:textId="77777777" w:rsidR="001D1D1A" w:rsidRPr="00F47242" w:rsidRDefault="001D1D1A" w:rsidP="009C20BE">
            <w:pPr>
              <w:spacing w:before="120" w:after="120"/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Bauer C., Lieb G. K.</w:t>
            </w:r>
          </w:p>
        </w:tc>
        <w:tc>
          <w:tcPr>
            <w:tcW w:w="1874" w:type="dxa"/>
            <w:shd w:val="clear" w:color="auto" w:fill="17365D"/>
          </w:tcPr>
          <w:p w14:paraId="1982AB06" w14:textId="77777777" w:rsidR="001D1D1A" w:rsidRPr="00F47242" w:rsidRDefault="001D1D1A" w:rsidP="009C20BE">
            <w:pPr>
              <w:spacing w:before="120" w:after="120"/>
              <w:jc w:val="right"/>
              <w:rPr>
                <w:rFonts w:ascii="Arial" w:hAnsi="Arial" w:cs="Arial"/>
                <w:b/>
                <w:color w:val="FFFEFB"/>
              </w:rPr>
            </w:pPr>
            <w:proofErr w:type="spellStart"/>
            <w:r>
              <w:rPr>
                <w:rFonts w:ascii="Arial" w:hAnsi="Arial" w:cs="Arial"/>
                <w:b/>
                <w:color w:val="FFFEFB"/>
              </w:rPr>
              <w:t>Wi</w:t>
            </w:r>
            <w:r w:rsidRPr="00F47242">
              <w:rPr>
                <w:rFonts w:ascii="Arial" w:hAnsi="Arial" w:cs="Arial"/>
                <w:b/>
                <w:color w:val="FFFEFB"/>
              </w:rPr>
              <w:t>Se</w:t>
            </w:r>
            <w:proofErr w:type="spellEnd"/>
            <w:r w:rsidRPr="00F47242">
              <w:rPr>
                <w:rFonts w:ascii="Arial" w:hAnsi="Arial" w:cs="Arial"/>
                <w:b/>
                <w:color w:val="FFFEFB"/>
              </w:rPr>
              <w:t xml:space="preserve"> 20</w:t>
            </w:r>
            <w:r>
              <w:rPr>
                <w:rFonts w:ascii="Arial" w:hAnsi="Arial" w:cs="Arial"/>
                <w:b/>
                <w:color w:val="FFFEFB"/>
              </w:rPr>
              <w:t>/21</w:t>
            </w:r>
          </w:p>
        </w:tc>
      </w:tr>
      <w:tr w:rsidR="001D1D1A" w:rsidRPr="00F47242" w14:paraId="530CACA9" w14:textId="77777777" w:rsidTr="009C20BE">
        <w:trPr>
          <w:trHeight w:val="589"/>
        </w:trPr>
        <w:tc>
          <w:tcPr>
            <w:tcW w:w="9212" w:type="dxa"/>
            <w:gridSpan w:val="2"/>
            <w:shd w:val="clear" w:color="auto" w:fill="FDE9D9"/>
            <w:vAlign w:val="center"/>
          </w:tcPr>
          <w:p w14:paraId="0AB4BEE9" w14:textId="77777777" w:rsidR="001D1D1A" w:rsidRPr="00F47242" w:rsidRDefault="001D1D1A" w:rsidP="009C20BE">
            <w:pPr>
              <w:jc w:val="center"/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 xml:space="preserve">Integrative Geographie </w:t>
            </w:r>
            <w:r w:rsidR="003E53BB">
              <w:rPr>
                <w:rFonts w:ascii="Arial" w:hAnsi="Arial" w:cs="Arial"/>
                <w:b/>
                <w:color w:val="17365D"/>
              </w:rPr>
              <w:t>III</w:t>
            </w:r>
            <w:r>
              <w:rPr>
                <w:rFonts w:ascii="Arial" w:hAnsi="Arial" w:cs="Arial"/>
                <w:b/>
                <w:color w:val="17365D"/>
              </w:rPr>
              <w:t xml:space="preserve">: </w:t>
            </w:r>
            <w:r w:rsidR="003E53BB">
              <w:rPr>
                <w:rFonts w:ascii="Arial" w:hAnsi="Arial" w:cs="Arial"/>
                <w:b/>
                <w:color w:val="17365D"/>
              </w:rPr>
              <w:t>Masters</w:t>
            </w:r>
            <w:r>
              <w:rPr>
                <w:rFonts w:ascii="Arial" w:hAnsi="Arial" w:cs="Arial"/>
                <w:b/>
                <w:color w:val="17365D"/>
              </w:rPr>
              <w:t xml:space="preserve">eminar </w:t>
            </w:r>
            <w:r w:rsidR="003E53BB">
              <w:rPr>
                <w:rFonts w:ascii="Arial" w:hAnsi="Arial" w:cs="Arial"/>
                <w:b/>
                <w:color w:val="17365D"/>
              </w:rPr>
              <w:t>zur integrativen Geographie für LAK</w:t>
            </w:r>
          </w:p>
        </w:tc>
      </w:tr>
    </w:tbl>
    <w:p w14:paraId="2848BC31" w14:textId="77777777" w:rsidR="001D1D1A" w:rsidRPr="00F47242" w:rsidRDefault="001D1D1A" w:rsidP="001D1D1A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insideV w:val="dotted" w:sz="4" w:space="0" w:color="17365D"/>
        </w:tblBorders>
        <w:tblLook w:val="04A0" w:firstRow="1" w:lastRow="0" w:firstColumn="1" w:lastColumn="0" w:noHBand="0" w:noVBand="1"/>
      </w:tblPr>
      <w:tblGrid>
        <w:gridCol w:w="2211"/>
        <w:gridCol w:w="6861"/>
      </w:tblGrid>
      <w:tr w:rsidR="001D1D1A" w:rsidRPr="00F47242" w14:paraId="72AEAD12" w14:textId="77777777" w:rsidTr="009C20BE">
        <w:trPr>
          <w:trHeight w:val="425"/>
        </w:trPr>
        <w:tc>
          <w:tcPr>
            <w:tcW w:w="2235" w:type="dxa"/>
            <w:shd w:val="clear" w:color="auto" w:fill="auto"/>
          </w:tcPr>
          <w:p w14:paraId="096873C1" w14:textId="77777777" w:rsidR="001D1D1A" w:rsidRPr="00F47242" w:rsidRDefault="001D1D1A" w:rsidP="009C20BE">
            <w:pPr>
              <w:rPr>
                <w:rFonts w:ascii="Arial" w:hAnsi="Arial" w:cs="Arial"/>
                <w:color w:val="17365D"/>
              </w:rPr>
            </w:pPr>
            <w:r w:rsidRPr="00F47242">
              <w:rPr>
                <w:rFonts w:ascii="Arial" w:hAnsi="Arial" w:cs="Arial"/>
                <w:b/>
                <w:color w:val="17365D"/>
                <w:u w:val="single"/>
              </w:rPr>
              <w:t>Termine:</w:t>
            </w:r>
          </w:p>
        </w:tc>
        <w:tc>
          <w:tcPr>
            <w:tcW w:w="6977" w:type="dxa"/>
            <w:shd w:val="clear" w:color="auto" w:fill="auto"/>
          </w:tcPr>
          <w:p w14:paraId="072D5F53" w14:textId="6D74A6D8" w:rsidR="001D1D1A" w:rsidRPr="00F47242" w:rsidRDefault="001D1D1A" w:rsidP="009C20BE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 xml:space="preserve">Mo   08:30 – 10:00 </w:t>
            </w:r>
            <w:proofErr w:type="gramStart"/>
            <w:r>
              <w:rPr>
                <w:rFonts w:ascii="Arial" w:hAnsi="Arial" w:cs="Arial"/>
                <w:b/>
                <w:color w:val="17365D"/>
              </w:rPr>
              <w:t xml:space="preserve">h  </w:t>
            </w:r>
            <w:r w:rsidR="00C1750A" w:rsidRPr="00C1750A">
              <w:rPr>
                <w:rFonts w:ascii="Arial" w:hAnsi="Arial" w:cs="Arial"/>
                <w:b/>
                <w:color w:val="17365D"/>
              </w:rPr>
              <w:t>SR</w:t>
            </w:r>
            <w:proofErr w:type="gramEnd"/>
            <w:r w:rsidR="00C1750A" w:rsidRPr="00C1750A">
              <w:rPr>
                <w:rFonts w:ascii="Arial" w:hAnsi="Arial" w:cs="Arial"/>
                <w:b/>
                <w:color w:val="17365D"/>
              </w:rPr>
              <w:t xml:space="preserve"> 11.06</w:t>
            </w:r>
          </w:p>
        </w:tc>
      </w:tr>
      <w:tr w:rsidR="001D1D1A" w:rsidRPr="00F47242" w14:paraId="041A3630" w14:textId="77777777" w:rsidTr="009C20BE">
        <w:tc>
          <w:tcPr>
            <w:tcW w:w="2235" w:type="dxa"/>
            <w:shd w:val="clear" w:color="auto" w:fill="auto"/>
          </w:tcPr>
          <w:p w14:paraId="3232750A" w14:textId="77777777" w:rsidR="001D1D1A" w:rsidRPr="00F47242" w:rsidRDefault="001D1D1A" w:rsidP="009C20BE">
            <w:pPr>
              <w:rPr>
                <w:rFonts w:ascii="Arial" w:hAnsi="Arial" w:cs="Arial"/>
                <w:color w:val="17365D"/>
              </w:rPr>
            </w:pPr>
            <w:r w:rsidRPr="00F47242">
              <w:rPr>
                <w:rFonts w:ascii="Arial" w:hAnsi="Arial" w:cs="Arial"/>
                <w:b/>
                <w:color w:val="17365D"/>
                <w:u w:val="single"/>
              </w:rPr>
              <w:t>Vorbesprechung:</w:t>
            </w:r>
            <w:r w:rsidRPr="00F47242">
              <w:rPr>
                <w:rFonts w:ascii="Arial" w:hAnsi="Arial" w:cs="Arial"/>
                <w:b/>
                <w:color w:val="17365D"/>
              </w:rPr>
              <w:t xml:space="preserve">  </w:t>
            </w:r>
          </w:p>
        </w:tc>
        <w:tc>
          <w:tcPr>
            <w:tcW w:w="6977" w:type="dxa"/>
            <w:shd w:val="clear" w:color="auto" w:fill="auto"/>
          </w:tcPr>
          <w:p w14:paraId="54C0D0E1" w14:textId="77777777" w:rsidR="001D1D1A" w:rsidRPr="00F47242" w:rsidRDefault="001D1D1A" w:rsidP="009C20B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Es findet keine Vorbesprechung statt. Die Teilnehmenden bekommen nach der Fixplatz-Zuteilung eine Online-Anleitung für das SE und weitere Anweisungen per E-Mail.</w:t>
            </w:r>
          </w:p>
        </w:tc>
      </w:tr>
      <w:tr w:rsidR="001D1D1A" w:rsidRPr="00F47242" w14:paraId="7CE1AB40" w14:textId="77777777" w:rsidTr="009C20BE">
        <w:tc>
          <w:tcPr>
            <w:tcW w:w="2235" w:type="dxa"/>
            <w:shd w:val="clear" w:color="auto" w:fill="auto"/>
          </w:tcPr>
          <w:p w14:paraId="7C9D78DF" w14:textId="77777777" w:rsidR="001D1D1A" w:rsidRPr="00F47242" w:rsidRDefault="001D1D1A" w:rsidP="009C20BE">
            <w:pPr>
              <w:rPr>
                <w:rFonts w:ascii="Arial" w:hAnsi="Arial" w:cs="Arial"/>
                <w:b/>
                <w:color w:val="17365D"/>
                <w:u w:val="single"/>
              </w:rPr>
            </w:pPr>
          </w:p>
        </w:tc>
        <w:tc>
          <w:tcPr>
            <w:tcW w:w="6977" w:type="dxa"/>
            <w:shd w:val="clear" w:color="auto" w:fill="auto"/>
          </w:tcPr>
          <w:p w14:paraId="4032EE02" w14:textId="77777777" w:rsidR="001D1D1A" w:rsidRPr="00F47242" w:rsidRDefault="001D1D1A" w:rsidP="009C20BE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8739EFF" w14:textId="77777777" w:rsidR="001D1D1A" w:rsidRPr="00DC5BDA" w:rsidRDefault="001D1D1A" w:rsidP="001D1D1A">
      <w:pPr>
        <w:rPr>
          <w:rFonts w:ascii="Arial" w:hAnsi="Arial" w:cs="Arial"/>
          <w:color w:val="17365D"/>
          <w:sz w:val="18"/>
          <w:szCs w:val="18"/>
        </w:rPr>
      </w:pPr>
    </w:p>
    <w:p w14:paraId="06A79A72" w14:textId="77777777" w:rsidR="001D1D1A" w:rsidRDefault="001D1D1A" w:rsidP="001D1D1A">
      <w:pPr>
        <w:ind w:left="1416" w:firstLine="708"/>
        <w:rPr>
          <w:rFonts w:ascii="Arial" w:hAnsi="Arial" w:cs="Arial"/>
          <w:b/>
          <w:caps/>
          <w:color w:val="17365D"/>
        </w:rPr>
      </w:pPr>
      <w:r w:rsidRPr="00626D7C">
        <w:rPr>
          <w:rFonts w:ascii="Arial" w:hAnsi="Arial" w:cs="Arial"/>
          <w:b/>
          <w:caps/>
          <w:color w:val="17365D"/>
        </w:rPr>
        <w:t>Anwesenheitspflicht</w:t>
      </w:r>
    </w:p>
    <w:p w14:paraId="66DCB9FD" w14:textId="77777777" w:rsidR="001D1D1A" w:rsidRDefault="001D1D1A" w:rsidP="001D1D1A">
      <w:pPr>
        <w:rPr>
          <w:rFonts w:ascii="Arial" w:hAnsi="Arial" w:cs="Arial"/>
          <w:b/>
          <w:caps/>
          <w:color w:val="17365D"/>
        </w:rPr>
      </w:pPr>
    </w:p>
    <w:p w14:paraId="3CD8100D" w14:textId="77777777" w:rsidR="001D1D1A" w:rsidRPr="00706C6C" w:rsidRDefault="001D1D1A" w:rsidP="001D1D1A">
      <w:pPr>
        <w:jc w:val="center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>Physiogeographische Phänomene und</w:t>
      </w:r>
      <w:r w:rsidRPr="001D1D1A"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b/>
          <w:bCs/>
          <w:color w:val="1F497D"/>
        </w:rPr>
        <w:t>ihre gesel</w:t>
      </w:r>
      <w:r w:rsidRPr="00706C6C">
        <w:rPr>
          <w:rFonts w:ascii="Arial" w:hAnsi="Arial" w:cs="Arial"/>
          <w:b/>
          <w:bCs/>
          <w:color w:val="1F497D"/>
        </w:rPr>
        <w:t>l</w:t>
      </w:r>
      <w:r>
        <w:rPr>
          <w:rFonts w:ascii="Arial" w:hAnsi="Arial" w:cs="Arial"/>
          <w:b/>
          <w:bCs/>
          <w:color w:val="1F497D"/>
        </w:rPr>
        <w:t>schaf</w:t>
      </w:r>
      <w:r w:rsidRPr="00706C6C">
        <w:rPr>
          <w:rFonts w:ascii="Arial" w:hAnsi="Arial" w:cs="Arial"/>
          <w:b/>
          <w:bCs/>
          <w:color w:val="1F497D"/>
        </w:rPr>
        <w:t>t</w:t>
      </w:r>
      <w:r>
        <w:rPr>
          <w:rFonts w:ascii="Arial" w:hAnsi="Arial" w:cs="Arial"/>
          <w:b/>
          <w:bCs/>
          <w:color w:val="1F497D"/>
        </w:rPr>
        <w:t>l</w:t>
      </w:r>
      <w:r w:rsidRPr="00706C6C">
        <w:rPr>
          <w:rFonts w:ascii="Arial" w:hAnsi="Arial" w:cs="Arial"/>
          <w:b/>
          <w:bCs/>
          <w:color w:val="1F497D"/>
        </w:rPr>
        <w:t>iche B</w:t>
      </w:r>
      <w:r>
        <w:rPr>
          <w:rFonts w:ascii="Arial" w:hAnsi="Arial" w:cs="Arial"/>
          <w:b/>
          <w:bCs/>
          <w:color w:val="1F497D"/>
        </w:rPr>
        <w:t>e</w:t>
      </w:r>
      <w:r w:rsidRPr="00706C6C">
        <w:rPr>
          <w:rFonts w:ascii="Arial" w:hAnsi="Arial" w:cs="Arial"/>
          <w:b/>
          <w:bCs/>
          <w:color w:val="1F497D"/>
        </w:rPr>
        <w:t>d</w:t>
      </w:r>
      <w:r>
        <w:rPr>
          <w:rFonts w:ascii="Arial" w:hAnsi="Arial" w:cs="Arial"/>
          <w:b/>
          <w:bCs/>
          <w:color w:val="1F497D"/>
        </w:rPr>
        <w:t>eut</w:t>
      </w:r>
      <w:r w:rsidRPr="00706C6C">
        <w:rPr>
          <w:rFonts w:ascii="Arial" w:hAnsi="Arial" w:cs="Arial"/>
          <w:b/>
          <w:bCs/>
          <w:color w:val="1F497D"/>
        </w:rPr>
        <w:t>ung</w:t>
      </w:r>
    </w:p>
    <w:p w14:paraId="47ECA734" w14:textId="77777777" w:rsidR="001D1D1A" w:rsidRDefault="001D1D1A" w:rsidP="001D1D1A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5CD73F9E" w14:textId="77777777" w:rsidR="001D1D1A" w:rsidRDefault="001D1D1A" w:rsidP="001D1D1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Eines der wesentlichen Merkmale zeitgemäßen GW-Unterrichts ist das Bestreben, physiogeographische, humangeographische und ökonomische Perspektiven zu vereinen, was in vielen, in den Lehrplänen verankerten Themenfeldern möglich ist. In diesem Seminar </w:t>
      </w:r>
      <w:r w:rsidR="00915CBC">
        <w:rPr>
          <w:rFonts w:ascii="Arial" w:hAnsi="Arial" w:cs="Arial"/>
          <w:color w:val="1F497D"/>
          <w:sz w:val="20"/>
          <w:szCs w:val="20"/>
        </w:rPr>
        <w:t>g</w:t>
      </w:r>
      <w:r>
        <w:rPr>
          <w:rFonts w:ascii="Arial" w:hAnsi="Arial" w:cs="Arial"/>
          <w:color w:val="1F497D"/>
          <w:sz w:val="20"/>
          <w:szCs w:val="20"/>
        </w:rPr>
        <w:t xml:space="preserve">ehen wir </w:t>
      </w:r>
      <w:r w:rsidR="00915CBC">
        <w:rPr>
          <w:rFonts w:ascii="Arial" w:hAnsi="Arial" w:cs="Arial"/>
          <w:color w:val="1F497D"/>
          <w:sz w:val="20"/>
          <w:szCs w:val="20"/>
        </w:rPr>
        <w:t xml:space="preserve">von </w:t>
      </w:r>
      <w:r>
        <w:rPr>
          <w:rFonts w:ascii="Arial" w:hAnsi="Arial" w:cs="Arial"/>
          <w:color w:val="1F497D"/>
          <w:sz w:val="20"/>
          <w:szCs w:val="20"/>
        </w:rPr>
        <w:t>ausgewählte</w:t>
      </w:r>
      <w:r w:rsidR="00915CBC">
        <w:rPr>
          <w:rFonts w:ascii="Arial" w:hAnsi="Arial" w:cs="Arial"/>
          <w:color w:val="1F497D"/>
          <w:sz w:val="20"/>
          <w:szCs w:val="20"/>
        </w:rPr>
        <w:t>n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3E53BB">
        <w:rPr>
          <w:rFonts w:ascii="Arial" w:hAnsi="Arial" w:cs="Arial"/>
          <w:color w:val="1F497D"/>
          <w:sz w:val="20"/>
          <w:szCs w:val="20"/>
        </w:rPr>
        <w:t xml:space="preserve">physio-geographischen </w:t>
      </w:r>
      <w:r>
        <w:rPr>
          <w:rFonts w:ascii="Arial" w:hAnsi="Arial" w:cs="Arial"/>
          <w:color w:val="1F497D"/>
          <w:sz w:val="20"/>
          <w:szCs w:val="20"/>
        </w:rPr>
        <w:t>Inhalte</w:t>
      </w:r>
      <w:r w:rsidR="00915CBC">
        <w:rPr>
          <w:rFonts w:ascii="Arial" w:hAnsi="Arial" w:cs="Arial"/>
          <w:color w:val="1F497D"/>
          <w:sz w:val="20"/>
          <w:szCs w:val="20"/>
        </w:rPr>
        <w:t>n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915CBC">
        <w:rPr>
          <w:rFonts w:ascii="Arial" w:hAnsi="Arial" w:cs="Arial"/>
          <w:color w:val="1F497D"/>
          <w:sz w:val="20"/>
          <w:szCs w:val="20"/>
        </w:rPr>
        <w:t>aus</w:t>
      </w:r>
      <w:r>
        <w:rPr>
          <w:rFonts w:ascii="Arial" w:hAnsi="Arial" w:cs="Arial"/>
          <w:color w:val="1F497D"/>
          <w:sz w:val="20"/>
          <w:szCs w:val="20"/>
        </w:rPr>
        <w:t xml:space="preserve">, erheben </w:t>
      </w:r>
      <w:r w:rsidR="00936176">
        <w:rPr>
          <w:rFonts w:ascii="Arial" w:hAnsi="Arial" w:cs="Arial"/>
          <w:color w:val="1F497D"/>
          <w:sz w:val="20"/>
          <w:szCs w:val="20"/>
        </w:rPr>
        <w:t xml:space="preserve">für </w:t>
      </w:r>
      <w:r>
        <w:rPr>
          <w:rFonts w:ascii="Arial" w:hAnsi="Arial" w:cs="Arial"/>
          <w:color w:val="1F497D"/>
          <w:sz w:val="20"/>
          <w:szCs w:val="20"/>
        </w:rPr>
        <w:t>diese den aktuellen naturwissenschaftlichen Forschungsstand</w:t>
      </w:r>
      <w:r w:rsidR="00936176">
        <w:rPr>
          <w:rFonts w:ascii="Arial" w:hAnsi="Arial" w:cs="Arial"/>
          <w:color w:val="1F497D"/>
          <w:sz w:val="20"/>
          <w:szCs w:val="20"/>
        </w:rPr>
        <w:t xml:space="preserve"> und analysieren ihre </w:t>
      </w:r>
      <w:r w:rsidR="00915CBC">
        <w:rPr>
          <w:rFonts w:ascii="Arial" w:hAnsi="Arial" w:cs="Arial"/>
          <w:color w:val="1F497D"/>
          <w:sz w:val="20"/>
          <w:szCs w:val="20"/>
        </w:rPr>
        <w:t xml:space="preserve">sozioökonomische </w:t>
      </w:r>
      <w:r w:rsidR="00936176">
        <w:rPr>
          <w:rFonts w:ascii="Arial" w:hAnsi="Arial" w:cs="Arial"/>
          <w:color w:val="1F497D"/>
          <w:sz w:val="20"/>
          <w:szCs w:val="20"/>
        </w:rPr>
        <w:t xml:space="preserve">Bedeutung. </w:t>
      </w:r>
      <w:r>
        <w:rPr>
          <w:rFonts w:ascii="Arial" w:hAnsi="Arial" w:cs="Arial"/>
          <w:color w:val="1F497D"/>
          <w:sz w:val="20"/>
          <w:szCs w:val="20"/>
        </w:rPr>
        <w:t>D</w:t>
      </w:r>
      <w:r w:rsidR="00936176">
        <w:rPr>
          <w:rFonts w:ascii="Arial" w:hAnsi="Arial" w:cs="Arial"/>
          <w:color w:val="1F497D"/>
          <w:sz w:val="20"/>
          <w:szCs w:val="20"/>
        </w:rPr>
        <w:t>i</w:t>
      </w:r>
      <w:r>
        <w:rPr>
          <w:rFonts w:ascii="Arial" w:hAnsi="Arial" w:cs="Arial"/>
          <w:color w:val="1F497D"/>
          <w:sz w:val="20"/>
          <w:szCs w:val="20"/>
        </w:rPr>
        <w:t>e</w:t>
      </w:r>
      <w:r w:rsidR="00936176">
        <w:rPr>
          <w:rFonts w:ascii="Arial" w:hAnsi="Arial" w:cs="Arial"/>
          <w:color w:val="1F497D"/>
          <w:sz w:val="20"/>
          <w:szCs w:val="20"/>
        </w:rPr>
        <w:t>s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936176">
        <w:rPr>
          <w:rFonts w:ascii="Arial" w:hAnsi="Arial" w:cs="Arial"/>
          <w:color w:val="1F497D"/>
          <w:sz w:val="20"/>
          <w:szCs w:val="20"/>
        </w:rPr>
        <w:t>geschieht auf theoretischer Ebene und illustriert die dabei erkannten Interaktionen an einem frei zu wählenden Fallbeispiel.</w:t>
      </w:r>
    </w:p>
    <w:p w14:paraId="48B08669" w14:textId="77777777" w:rsidR="001D1D1A" w:rsidRDefault="001D1D1A" w:rsidP="001D1D1A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37214735" w14:textId="77777777" w:rsidR="001D1D1A" w:rsidRPr="00461D51" w:rsidRDefault="001D1D1A" w:rsidP="001D1D1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Die Bearbeitung der Themen erfolgt </w:t>
      </w:r>
      <w:r w:rsidR="00936176">
        <w:rPr>
          <w:rFonts w:ascii="Arial" w:hAnsi="Arial" w:cs="Arial"/>
          <w:color w:val="1F497D"/>
          <w:sz w:val="20"/>
          <w:szCs w:val="20"/>
        </w:rPr>
        <w:t>je nach Bedarf einzeln oder in</w:t>
      </w:r>
      <w:r>
        <w:rPr>
          <w:rFonts w:ascii="Arial" w:hAnsi="Arial" w:cs="Arial"/>
          <w:color w:val="1F497D"/>
          <w:sz w:val="20"/>
          <w:szCs w:val="20"/>
        </w:rPr>
        <w:t xml:space="preserve"> Zweiergruppen. Die Bewertung des Seminars beruht auf folgenden Teilleistungen: Mitarbeit (Diskussion), Präsentation (Seminarvortrag), und schriftliche Seminararbeit.</w:t>
      </w:r>
    </w:p>
    <w:p w14:paraId="12B586A9" w14:textId="77777777" w:rsidR="001D1D1A" w:rsidRDefault="001D1D1A" w:rsidP="001D1D1A">
      <w:pPr>
        <w:rPr>
          <w:rFonts w:ascii="Arial" w:hAnsi="Arial" w:cs="Arial"/>
          <w:b/>
          <w:color w:val="1F497D"/>
          <w:sz w:val="20"/>
          <w:szCs w:val="20"/>
        </w:rPr>
      </w:pPr>
    </w:p>
    <w:p w14:paraId="58FBC308" w14:textId="77777777" w:rsidR="001D1D1A" w:rsidRPr="00920802" w:rsidRDefault="001D1D1A" w:rsidP="001D1D1A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Themenliste</w:t>
      </w:r>
    </w:p>
    <w:tbl>
      <w:tblPr>
        <w:tblW w:w="0" w:type="auto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ook w:val="01E0" w:firstRow="1" w:lastRow="1" w:firstColumn="1" w:lastColumn="1" w:noHBand="0" w:noVBand="0"/>
      </w:tblPr>
      <w:tblGrid>
        <w:gridCol w:w="1236"/>
        <w:gridCol w:w="7826"/>
      </w:tblGrid>
      <w:tr w:rsidR="001D1D1A" w:rsidRPr="00F47242" w14:paraId="2F8A3248" w14:textId="77777777" w:rsidTr="009C20BE">
        <w:trPr>
          <w:trHeight w:val="397"/>
        </w:trPr>
        <w:tc>
          <w:tcPr>
            <w:tcW w:w="1242" w:type="dxa"/>
            <w:shd w:val="clear" w:color="auto" w:fill="C6D9F1"/>
          </w:tcPr>
          <w:p w14:paraId="4D75E83E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1</w:t>
            </w:r>
          </w:p>
        </w:tc>
        <w:tc>
          <w:tcPr>
            <w:tcW w:w="7875" w:type="dxa"/>
            <w:shd w:val="clear" w:color="auto" w:fill="auto"/>
          </w:tcPr>
          <w:p w14:paraId="3F5B604D" w14:textId="77777777" w:rsidR="001D1D1A" w:rsidRPr="00572421" w:rsidRDefault="00B72556" w:rsidP="009C20BE">
            <w:pPr>
              <w:pStyle w:val="Listenabsatz"/>
              <w:spacing w:after="160" w:line="259" w:lineRule="auto"/>
              <w:ind w:left="0"/>
              <w:rPr>
                <w:rFonts w:cs="Calibri"/>
                <w:color w:val="17365D"/>
              </w:rPr>
            </w:pPr>
            <w:r>
              <w:rPr>
                <w:rFonts w:cs="Calibri"/>
                <w:color w:val="17365D"/>
              </w:rPr>
              <w:t>Bergstürze und ihre gesellschaftliche Bedeutung</w:t>
            </w:r>
          </w:p>
        </w:tc>
      </w:tr>
      <w:tr w:rsidR="001D1D1A" w:rsidRPr="00F47242" w14:paraId="6989BF37" w14:textId="77777777" w:rsidTr="009C20BE">
        <w:trPr>
          <w:trHeight w:val="397"/>
        </w:trPr>
        <w:tc>
          <w:tcPr>
            <w:tcW w:w="1242" w:type="dxa"/>
            <w:shd w:val="clear" w:color="auto" w:fill="C6D9F1"/>
          </w:tcPr>
          <w:p w14:paraId="63B7B27F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2</w:t>
            </w:r>
          </w:p>
        </w:tc>
        <w:tc>
          <w:tcPr>
            <w:tcW w:w="7875" w:type="dxa"/>
            <w:shd w:val="clear" w:color="auto" w:fill="auto"/>
          </w:tcPr>
          <w:p w14:paraId="194790C6" w14:textId="77777777" w:rsidR="001D1D1A" w:rsidRPr="00F47242" w:rsidRDefault="00B72556" w:rsidP="009C20BE">
            <w:pPr>
              <w:pStyle w:val="Listenabsatz"/>
              <w:spacing w:after="160" w:line="259" w:lineRule="auto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Schutt-, Muren- und Schwemmkegel und ihre gesellschaftliche Bedeutung</w:t>
            </w:r>
          </w:p>
        </w:tc>
      </w:tr>
      <w:tr w:rsidR="001D1D1A" w:rsidRPr="00F47242" w14:paraId="2185036B" w14:textId="77777777" w:rsidTr="009C20BE">
        <w:trPr>
          <w:trHeight w:val="430"/>
        </w:trPr>
        <w:tc>
          <w:tcPr>
            <w:tcW w:w="1242" w:type="dxa"/>
            <w:shd w:val="clear" w:color="auto" w:fill="C6D9F1"/>
          </w:tcPr>
          <w:p w14:paraId="64797F2A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3</w:t>
            </w:r>
          </w:p>
        </w:tc>
        <w:tc>
          <w:tcPr>
            <w:tcW w:w="7875" w:type="dxa"/>
            <w:shd w:val="clear" w:color="auto" w:fill="auto"/>
          </w:tcPr>
          <w:p w14:paraId="24105476" w14:textId="77777777" w:rsidR="001D1D1A" w:rsidRPr="00F47242" w:rsidRDefault="00B72556" w:rsidP="009C20BE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Schluchten, Klammen und Canyons und ihre gesellschaftliche Bedeutung</w:t>
            </w:r>
          </w:p>
        </w:tc>
      </w:tr>
      <w:tr w:rsidR="001D1D1A" w:rsidRPr="00F47242" w14:paraId="4BEC09FE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06E0DD77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4</w:t>
            </w:r>
          </w:p>
        </w:tc>
        <w:tc>
          <w:tcPr>
            <w:tcW w:w="7875" w:type="dxa"/>
            <w:shd w:val="clear" w:color="auto" w:fill="auto"/>
          </w:tcPr>
          <w:p w14:paraId="7B9CDD8B" w14:textId="77777777" w:rsidR="001D1D1A" w:rsidRPr="00F47242" w:rsidRDefault="00915CBC" w:rsidP="009C20BE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Karstpoljen und ihre gesellschaftliche Bedeutung</w:t>
            </w:r>
          </w:p>
        </w:tc>
      </w:tr>
      <w:tr w:rsidR="001D1D1A" w:rsidRPr="00F47242" w14:paraId="442042C5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39482FB6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5</w:t>
            </w:r>
          </w:p>
        </w:tc>
        <w:tc>
          <w:tcPr>
            <w:tcW w:w="7875" w:type="dxa"/>
            <w:shd w:val="clear" w:color="auto" w:fill="auto"/>
          </w:tcPr>
          <w:p w14:paraId="215B3C2D" w14:textId="77777777" w:rsidR="001D1D1A" w:rsidRPr="00F47242" w:rsidRDefault="00B72556" w:rsidP="009C20BE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Karsthöhlen und ihre gesellschaftliche Bedeutung</w:t>
            </w:r>
          </w:p>
        </w:tc>
      </w:tr>
      <w:tr w:rsidR="001D1D1A" w:rsidRPr="00F47242" w14:paraId="0DB0F61B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24AE50CA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6</w:t>
            </w:r>
          </w:p>
        </w:tc>
        <w:tc>
          <w:tcPr>
            <w:tcW w:w="7875" w:type="dxa"/>
            <w:shd w:val="clear" w:color="auto" w:fill="auto"/>
          </w:tcPr>
          <w:p w14:paraId="4E5E2B53" w14:textId="77777777" w:rsidR="001D1D1A" w:rsidRPr="00572421" w:rsidRDefault="00B72556" w:rsidP="009C20BE">
            <w:pPr>
              <w:pStyle w:val="Listenabsatz"/>
              <w:spacing w:after="0"/>
              <w:ind w:left="0"/>
              <w:rPr>
                <w:rFonts w:eastAsia="Times New Roman" w:cs="Calibri"/>
                <w:bCs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Trogtäler und ihre gesellschaftliche Bedeutung</w:t>
            </w:r>
          </w:p>
        </w:tc>
      </w:tr>
      <w:tr w:rsidR="001D1D1A" w:rsidRPr="00F47242" w14:paraId="032D0C0D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58DE3350" w14:textId="77777777" w:rsidR="001D1D1A" w:rsidRPr="00F47242" w:rsidRDefault="001D1D1A" w:rsidP="009C20BE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7</w:t>
            </w:r>
          </w:p>
        </w:tc>
        <w:tc>
          <w:tcPr>
            <w:tcW w:w="7875" w:type="dxa"/>
            <w:shd w:val="clear" w:color="auto" w:fill="auto"/>
          </w:tcPr>
          <w:p w14:paraId="5F63652B" w14:textId="77777777" w:rsidR="001D1D1A" w:rsidRPr="00F47242" w:rsidRDefault="00915CBC" w:rsidP="009C20BE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Fluvioglaziale Sedimente und ihre gesellschaftliche Bedeutung</w:t>
            </w:r>
          </w:p>
        </w:tc>
      </w:tr>
      <w:tr w:rsidR="00B72556" w:rsidRPr="00F47242" w14:paraId="568D9B15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7233F1A3" w14:textId="77777777" w:rsidR="00B72556" w:rsidRPr="00F47242" w:rsidRDefault="00B72556" w:rsidP="00B72556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8</w:t>
            </w:r>
          </w:p>
        </w:tc>
        <w:tc>
          <w:tcPr>
            <w:tcW w:w="7875" w:type="dxa"/>
            <w:shd w:val="clear" w:color="auto" w:fill="auto"/>
          </w:tcPr>
          <w:p w14:paraId="4DC9ECC8" w14:textId="77777777" w:rsidR="00B72556" w:rsidRPr="00F47242" w:rsidRDefault="00B72556" w:rsidP="00B72556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Flussregime und ihre gesellschaftliche Bedeutung</w:t>
            </w:r>
          </w:p>
        </w:tc>
      </w:tr>
      <w:tr w:rsidR="00B72556" w:rsidRPr="00F47242" w14:paraId="2F05DE26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11835A16" w14:textId="77777777" w:rsidR="00B72556" w:rsidRPr="00F47242" w:rsidRDefault="00B72556" w:rsidP="00B72556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9</w:t>
            </w:r>
          </w:p>
        </w:tc>
        <w:tc>
          <w:tcPr>
            <w:tcW w:w="7875" w:type="dxa"/>
            <w:shd w:val="clear" w:color="auto" w:fill="auto"/>
          </w:tcPr>
          <w:p w14:paraId="7723AF38" w14:textId="77777777" w:rsidR="00B72556" w:rsidRPr="00F47242" w:rsidRDefault="00B72556" w:rsidP="00B72556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proofErr w:type="gramStart"/>
            <w:r>
              <w:rPr>
                <w:rFonts w:eastAsia="Times New Roman" w:cs="Calibri"/>
                <w:color w:val="17365D"/>
                <w:lang w:val="de-DE" w:eastAsia="de-DE"/>
              </w:rPr>
              <w:t>Der Tschernosem</w:t>
            </w:r>
            <w:proofErr w:type="gramEnd"/>
            <w:r>
              <w:rPr>
                <w:rFonts w:eastAsia="Times New Roman" w:cs="Calibri"/>
                <w:color w:val="17365D"/>
                <w:lang w:val="de-DE" w:eastAsia="de-DE"/>
              </w:rPr>
              <w:t xml:space="preserve"> und seine gesellschaftliche Bedeutung</w:t>
            </w:r>
          </w:p>
        </w:tc>
      </w:tr>
      <w:tr w:rsidR="00B72556" w:rsidRPr="00F47242" w14:paraId="25063C99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0F281360" w14:textId="77777777" w:rsidR="00B72556" w:rsidRPr="00F47242" w:rsidRDefault="00B72556" w:rsidP="00B72556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10</w:t>
            </w:r>
          </w:p>
        </w:tc>
        <w:tc>
          <w:tcPr>
            <w:tcW w:w="7875" w:type="dxa"/>
            <w:shd w:val="clear" w:color="auto" w:fill="auto"/>
          </w:tcPr>
          <w:p w14:paraId="0F7C0CDD" w14:textId="77777777" w:rsidR="00B72556" w:rsidRPr="00F47242" w:rsidRDefault="00B72556" w:rsidP="00B72556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Die alpine Stufe und ihre gesellschaftliche Bedeutung</w:t>
            </w:r>
          </w:p>
        </w:tc>
      </w:tr>
      <w:tr w:rsidR="00B72556" w:rsidRPr="00F47242" w14:paraId="4BCB80A2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7B4F89E7" w14:textId="77777777" w:rsidR="00B72556" w:rsidRPr="00F47242" w:rsidRDefault="00B72556" w:rsidP="00B72556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11</w:t>
            </w:r>
          </w:p>
        </w:tc>
        <w:tc>
          <w:tcPr>
            <w:tcW w:w="7875" w:type="dxa"/>
            <w:shd w:val="clear" w:color="auto" w:fill="auto"/>
          </w:tcPr>
          <w:p w14:paraId="356A5855" w14:textId="77777777" w:rsidR="00B72556" w:rsidRPr="00F47242" w:rsidRDefault="00B72556" w:rsidP="00B72556">
            <w:pPr>
              <w:pStyle w:val="Listenabsatz"/>
              <w:spacing w:after="0"/>
              <w:ind w:left="0"/>
              <w:rPr>
                <w:rFonts w:eastAsia="Times New Roman" w:cs="Calibri"/>
                <w:color w:val="17365D"/>
                <w:lang w:val="de-DE" w:eastAsia="de-DE"/>
              </w:rPr>
            </w:pPr>
            <w:r>
              <w:rPr>
                <w:rFonts w:eastAsia="Times New Roman" w:cs="Calibri"/>
                <w:color w:val="17365D"/>
                <w:lang w:val="de-DE" w:eastAsia="de-DE"/>
              </w:rPr>
              <w:t>Der boreale Wald und seine gesellschaftliche Bedeutung</w:t>
            </w:r>
          </w:p>
        </w:tc>
      </w:tr>
      <w:tr w:rsidR="00B72556" w:rsidRPr="00F47242" w14:paraId="2E43DF13" w14:textId="77777777" w:rsidTr="009C20BE">
        <w:trPr>
          <w:trHeight w:val="445"/>
        </w:trPr>
        <w:tc>
          <w:tcPr>
            <w:tcW w:w="1242" w:type="dxa"/>
            <w:shd w:val="clear" w:color="auto" w:fill="C6D9F1"/>
          </w:tcPr>
          <w:p w14:paraId="591292D4" w14:textId="77777777" w:rsidR="00B72556" w:rsidRPr="00F47242" w:rsidRDefault="00B72556" w:rsidP="00B72556">
            <w:pPr>
              <w:jc w:val="right"/>
              <w:rPr>
                <w:rFonts w:ascii="Calibri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color w:val="17365D"/>
                <w:sz w:val="22"/>
                <w:szCs w:val="22"/>
              </w:rPr>
              <w:t>12</w:t>
            </w:r>
          </w:p>
        </w:tc>
        <w:tc>
          <w:tcPr>
            <w:tcW w:w="7875" w:type="dxa"/>
            <w:shd w:val="clear" w:color="auto" w:fill="auto"/>
          </w:tcPr>
          <w:p w14:paraId="3897AFE6" w14:textId="77777777" w:rsidR="00B72556" w:rsidRPr="00F47242" w:rsidRDefault="00B72556" w:rsidP="00B72556">
            <w:pPr>
              <w:rPr>
                <w:rFonts w:ascii="Calibri" w:hAnsi="Calibri" w:cs="Calibri"/>
                <w:color w:val="17365D"/>
                <w:sz w:val="22"/>
                <w:szCs w:val="22"/>
              </w:rPr>
            </w:pPr>
            <w:r w:rsidRPr="00B72556">
              <w:rPr>
                <w:rFonts w:ascii="Calibri" w:hAnsi="Calibri" w:cs="Calibri"/>
                <w:color w:val="17365D"/>
                <w:sz w:val="22"/>
                <w:szCs w:val="22"/>
              </w:rPr>
              <w:t>Der Auwald und seine gesellschaftliche Bedeutung</w:t>
            </w:r>
          </w:p>
        </w:tc>
      </w:tr>
    </w:tbl>
    <w:p w14:paraId="7CD1B18B" w14:textId="77777777" w:rsidR="001D1D1A" w:rsidRPr="006867EB" w:rsidRDefault="001D1D1A" w:rsidP="001D1D1A">
      <w:pPr>
        <w:jc w:val="both"/>
        <w:rPr>
          <w:rFonts w:ascii="Arial" w:hAnsi="Arial" w:cs="Arial"/>
          <w:sz w:val="12"/>
          <w:szCs w:val="12"/>
          <w:lang w:val="de-AT"/>
        </w:rPr>
      </w:pPr>
    </w:p>
    <w:p w14:paraId="139512F1" w14:textId="77777777" w:rsidR="001D1D1A" w:rsidRDefault="001D1D1A" w:rsidP="001D1D1A">
      <w:pPr>
        <w:rPr>
          <w:rFonts w:ascii="Arial" w:hAnsi="Arial" w:cs="Arial"/>
          <w:b/>
          <w:color w:val="17365D"/>
          <w:sz w:val="22"/>
          <w:szCs w:val="22"/>
          <w:lang w:val="de-AT"/>
        </w:rPr>
      </w:pPr>
    </w:p>
    <w:p w14:paraId="59045B53" w14:textId="77777777" w:rsidR="001D1D1A" w:rsidRPr="00F47242" w:rsidRDefault="001D1D1A" w:rsidP="001D1D1A">
      <w:pPr>
        <w:rPr>
          <w:rFonts w:ascii="Arial" w:hAnsi="Arial" w:cs="Arial"/>
          <w:b/>
          <w:color w:val="17365D"/>
          <w:sz w:val="22"/>
          <w:szCs w:val="22"/>
          <w:lang w:val="de-AT"/>
        </w:rPr>
      </w:pPr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 xml:space="preserve">Anmeldung über </w:t>
      </w:r>
      <w:proofErr w:type="spellStart"/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>UGonline</w:t>
      </w:r>
      <w:proofErr w:type="spellEnd"/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>: 1.</w:t>
      </w:r>
      <w:r>
        <w:rPr>
          <w:rFonts w:ascii="Arial" w:hAnsi="Arial" w:cs="Arial"/>
          <w:b/>
          <w:color w:val="17365D"/>
          <w:sz w:val="22"/>
          <w:szCs w:val="22"/>
          <w:lang w:val="de-AT"/>
        </w:rPr>
        <w:t>6</w:t>
      </w:r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>. bis 6.</w:t>
      </w:r>
      <w:r>
        <w:rPr>
          <w:rFonts w:ascii="Arial" w:hAnsi="Arial" w:cs="Arial"/>
          <w:b/>
          <w:color w:val="17365D"/>
          <w:sz w:val="22"/>
          <w:szCs w:val="22"/>
          <w:lang w:val="de-AT"/>
        </w:rPr>
        <w:t>6</w:t>
      </w:r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>.</w:t>
      </w:r>
    </w:p>
    <w:p w14:paraId="17306CB3" w14:textId="77777777" w:rsidR="001D1D1A" w:rsidRPr="00F47242" w:rsidRDefault="001D1D1A" w:rsidP="001D1D1A">
      <w:pPr>
        <w:tabs>
          <w:tab w:val="center" w:pos="4536"/>
        </w:tabs>
        <w:rPr>
          <w:rFonts w:ascii="Arial" w:hAnsi="Arial" w:cs="Arial"/>
          <w:b/>
          <w:color w:val="17365D"/>
          <w:sz w:val="22"/>
          <w:szCs w:val="22"/>
        </w:rPr>
      </w:pPr>
      <w:r w:rsidRPr="00F47242">
        <w:rPr>
          <w:rFonts w:ascii="Arial" w:hAnsi="Arial" w:cs="Arial"/>
          <w:b/>
          <w:color w:val="17365D"/>
          <w:sz w:val="22"/>
          <w:szCs w:val="22"/>
          <w:lang w:val="de-AT"/>
        </w:rPr>
        <w:t>Anrechenbarkeit: sieh</w:t>
      </w:r>
      <w:r w:rsidRPr="00F47242">
        <w:rPr>
          <w:rFonts w:ascii="Arial" w:hAnsi="Arial" w:cs="Arial"/>
          <w:b/>
          <w:color w:val="17365D"/>
          <w:sz w:val="22"/>
          <w:szCs w:val="22"/>
        </w:rPr>
        <w:t xml:space="preserve">e </w:t>
      </w:r>
      <w:proofErr w:type="spellStart"/>
      <w:r w:rsidRPr="00F47242">
        <w:rPr>
          <w:rFonts w:ascii="Arial" w:hAnsi="Arial" w:cs="Arial"/>
          <w:b/>
          <w:color w:val="17365D"/>
          <w:sz w:val="22"/>
          <w:szCs w:val="22"/>
        </w:rPr>
        <w:t>UGonline</w:t>
      </w:r>
      <w:proofErr w:type="spellEnd"/>
      <w:r w:rsidRPr="00F47242">
        <w:rPr>
          <w:rFonts w:ascii="Arial" w:hAnsi="Arial" w:cs="Arial"/>
          <w:b/>
          <w:color w:val="17365D"/>
          <w:sz w:val="22"/>
          <w:szCs w:val="22"/>
        </w:rPr>
        <w:tab/>
      </w:r>
    </w:p>
    <w:p w14:paraId="37C6D7EF" w14:textId="77777777" w:rsidR="001D1D1A" w:rsidRPr="00626D7C" w:rsidRDefault="001D1D1A" w:rsidP="001D1D1A">
      <w:pPr>
        <w:rPr>
          <w:rFonts w:ascii="Arial" w:hAnsi="Arial" w:cs="Arial"/>
          <w:color w:val="17365D"/>
        </w:rPr>
      </w:pPr>
      <w:r w:rsidRPr="00F47242">
        <w:rPr>
          <w:rFonts w:ascii="Arial" w:hAnsi="Arial" w:cs="Arial"/>
          <w:b/>
          <w:color w:val="17365D"/>
          <w:sz w:val="22"/>
          <w:szCs w:val="22"/>
        </w:rPr>
        <w:t>Begrenzte Teilnehmerzahl</w:t>
      </w:r>
    </w:p>
    <w:p w14:paraId="6256BB8C" w14:textId="77777777" w:rsidR="00D96EB4" w:rsidRDefault="00D96EB4"/>
    <w:sectPr w:rsidR="00D96EB4" w:rsidSect="00174E4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1A"/>
    <w:rsid w:val="001D1D1A"/>
    <w:rsid w:val="00250D61"/>
    <w:rsid w:val="003E53BB"/>
    <w:rsid w:val="00915CBC"/>
    <w:rsid w:val="00936176"/>
    <w:rsid w:val="00B72556"/>
    <w:rsid w:val="00BA7FC6"/>
    <w:rsid w:val="00C1750A"/>
    <w:rsid w:val="00D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6A1C"/>
  <w15:chartTrackingRefBased/>
  <w15:docId w15:val="{A1B6E798-D881-4E2E-B5ED-824508D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</dc:creator>
  <cp:keywords/>
  <dc:description/>
  <cp:lastModifiedBy>Maria Müller</cp:lastModifiedBy>
  <cp:revision>2</cp:revision>
  <dcterms:created xsi:type="dcterms:W3CDTF">2020-05-12T11:02:00Z</dcterms:created>
  <dcterms:modified xsi:type="dcterms:W3CDTF">2020-05-12T11:02:00Z</dcterms:modified>
</cp:coreProperties>
</file>