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Abstract: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Why are pension products so complicated?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In a defined contribution pension scheme,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the final pension amount depends not only on the amount paid into the pension but also on the performance of the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 xml:space="preserve">individual specific investment strategy. Due </w:t>
      </w:r>
      <w:r>
        <w:rPr>
          <w:rFonts w:ascii="Calibri" w:eastAsia="Times New Roman" w:hAnsi="Calibri"/>
          <w:color w:val="212121"/>
          <w:lang w:val="en-US"/>
        </w:rPr>
        <w:t xml:space="preserve">to the involvement of </w:t>
      </w:r>
      <w:r w:rsidRPr="00CE7C10">
        <w:rPr>
          <w:rFonts w:ascii="Calibri" w:eastAsia="Times New Roman" w:hAnsi="Calibri"/>
          <w:color w:val="212121"/>
          <w:lang w:val="en-US"/>
        </w:rPr>
        <w:t>financial advisers, asset managers and insurance companies, finding the optimal investment strategy is often complicated and expensive.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In this talk, I will propose a new way of handling and communicating the risk of uncertain pension income.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>
        <w:rPr>
          <w:rFonts w:ascii="Calibri" w:eastAsia="Times New Roman" w:hAnsi="Calibri"/>
          <w:color w:val="212121"/>
          <w:lang w:val="en-US"/>
        </w:rPr>
        <w:t>The key point is that by</w:t>
      </w:r>
      <w:r w:rsidRPr="00CE7C10">
        <w:rPr>
          <w:rFonts w:ascii="Calibri" w:eastAsia="Times New Roman" w:hAnsi="Calibri"/>
          <w:color w:val="212121"/>
          <w:lang w:val="en-US"/>
        </w:rPr>
        <w:t> allowing the customer to propose a lower and upper bound, he effectively reveals his risk aversion.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This in turn leads to a simple investment strategy where everyone invests into the same derivative.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 Risk is balanced by the individual proportion that is invested into the risky derivative.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The investment optimization will be done by maximizing the expected utility of the final pension amount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under an exponential ut</w:t>
      </w:r>
      <w:r>
        <w:rPr>
          <w:rFonts w:ascii="Calibri" w:eastAsia="Times New Roman" w:hAnsi="Calibri"/>
          <w:color w:val="212121"/>
          <w:lang w:val="en-US"/>
        </w:rPr>
        <w:t xml:space="preserve">ility function. I will present </w:t>
      </w:r>
      <w:bookmarkStart w:id="0" w:name="_GoBack"/>
      <w:bookmarkEnd w:id="0"/>
      <w:r w:rsidRPr="00CE7C10">
        <w:rPr>
          <w:rFonts w:ascii="Calibri" w:eastAsia="Times New Roman" w:hAnsi="Calibri"/>
          <w:color w:val="212121"/>
          <w:lang w:val="en-US"/>
        </w:rPr>
        <w:t>properties and results in a simple Black-Scholes world,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  <w:r w:rsidRPr="00CE7C10">
        <w:rPr>
          <w:rFonts w:ascii="Calibri" w:eastAsia="Times New Roman" w:hAnsi="Calibri"/>
          <w:color w:val="212121"/>
          <w:lang w:val="en-US"/>
        </w:rPr>
        <w:t>and also compare those results to a power (</w:t>
      </w:r>
      <w:proofErr w:type="spellStart"/>
      <w:r w:rsidRPr="00CE7C10">
        <w:rPr>
          <w:rFonts w:ascii="Calibri" w:eastAsia="Times New Roman" w:hAnsi="Calibri"/>
          <w:color w:val="212121"/>
          <w:lang w:val="en-US"/>
        </w:rPr>
        <w:t>isoelastic</w:t>
      </w:r>
      <w:proofErr w:type="spellEnd"/>
      <w:r w:rsidRPr="00CE7C10">
        <w:rPr>
          <w:rFonts w:ascii="Calibri" w:eastAsia="Times New Roman" w:hAnsi="Calibri"/>
          <w:color w:val="212121"/>
          <w:lang w:val="en-US"/>
        </w:rPr>
        <w:t>) utility function optimization. </w:t>
      </w:r>
    </w:p>
    <w:p w:rsidR="00CE7C10" w:rsidRPr="00CE7C10" w:rsidRDefault="00CE7C10" w:rsidP="00CE7C10">
      <w:pPr>
        <w:rPr>
          <w:rFonts w:ascii="Calibri" w:eastAsia="Times New Roman" w:hAnsi="Calibri"/>
          <w:color w:val="212121"/>
          <w:lang w:val="en-US"/>
        </w:rPr>
      </w:pPr>
    </w:p>
    <w:p w:rsidR="000716D8" w:rsidRPr="00CE7C10" w:rsidRDefault="000716D8">
      <w:pPr>
        <w:rPr>
          <w:lang w:val="en-US"/>
        </w:rPr>
      </w:pPr>
    </w:p>
    <w:sectPr w:rsidR="000716D8" w:rsidRPr="00CE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0"/>
    <w:rsid w:val="000716D8"/>
    <w:rsid w:val="00C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8619"/>
  <w15:chartTrackingRefBased/>
  <w15:docId w15:val="{D758926B-F61A-434C-B6E8-47DE898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C1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Watzke, Bianca (bianca.watzke@uni-graz.at)</dc:creator>
  <cp:keywords/>
  <dc:description/>
  <cp:lastModifiedBy>Watzke, Bianca (bianca.watzke@uni-graz.at)</cp:lastModifiedBy>
  <cp:revision>1</cp:revision>
  <dcterms:created xsi:type="dcterms:W3CDTF">2016-11-02T09:16:00Z</dcterms:created>
  <dcterms:modified xsi:type="dcterms:W3CDTF">2016-11-02T09:18:00Z</dcterms:modified>
</cp:coreProperties>
</file>