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F405B" w14:textId="77777777" w:rsidR="00BE7001" w:rsidRPr="00C12ED5" w:rsidRDefault="00BE7001"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Times New Roman" w:hAnsi="Times New Roman"/>
        </w:rPr>
      </w:pPr>
    </w:p>
    <w:p w14:paraId="6DA4A405" w14:textId="77777777" w:rsidR="00BE7001" w:rsidRPr="00C12ED5" w:rsidRDefault="00BE7001" w:rsidP="00BE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rPr>
          <w:rFonts w:ascii="Times New Roman" w:hAnsi="Times New Roman"/>
          <w:b/>
          <w:bCs/>
        </w:rPr>
      </w:pPr>
    </w:p>
    <w:p w14:paraId="33FBAB41" w14:textId="77777777" w:rsidR="0080510B" w:rsidRDefault="0080510B" w:rsidP="0080510B">
      <w:pPr>
        <w:pStyle w:val="Listenabsatz"/>
        <w:ind w:left="142"/>
        <w:jc w:val="center"/>
        <w:rPr>
          <w:rFonts w:asciiTheme="minorBidi" w:hAnsiTheme="minorBidi"/>
          <w:b/>
          <w:bCs/>
          <w:iCs/>
        </w:rPr>
      </w:pPr>
      <w:r>
        <w:rPr>
          <w:rFonts w:ascii="Adobe Garamond Pro" w:hAnsi="Adobe Garamond Pro"/>
        </w:rPr>
        <w:br/>
      </w:r>
      <w:r w:rsidRPr="00C84E30">
        <w:rPr>
          <w:rFonts w:asciiTheme="minorBidi" w:hAnsiTheme="minorBidi"/>
          <w:b/>
          <w:bCs/>
          <w:iCs/>
        </w:rPr>
        <w:t>(In) Jerusalem ökumenisch denken</w:t>
      </w:r>
      <w:r w:rsidRPr="00C84E30">
        <w:rPr>
          <w:rFonts w:asciiTheme="minorBidi" w:hAnsiTheme="minorBidi"/>
          <w:b/>
          <w:bCs/>
          <w:iCs/>
        </w:rPr>
        <w:br/>
        <w:t xml:space="preserve">Die Heilige Stadt als Topos ökumenisch-theologischer Reflexion </w:t>
      </w:r>
    </w:p>
    <w:p w14:paraId="58E5B181" w14:textId="77777777" w:rsidR="0080510B" w:rsidRDefault="0080510B" w:rsidP="0080510B">
      <w:pPr>
        <w:pStyle w:val="Listenabsatz"/>
        <w:ind w:left="142"/>
        <w:jc w:val="center"/>
        <w:rPr>
          <w:rFonts w:asciiTheme="minorBidi" w:hAnsiTheme="minorBidi"/>
          <w:b/>
          <w:bCs/>
          <w:iCs/>
        </w:rPr>
      </w:pPr>
    </w:p>
    <w:p w14:paraId="7ED79A58" w14:textId="77777777" w:rsidR="0080510B" w:rsidRDefault="0080510B" w:rsidP="0080510B">
      <w:pPr>
        <w:pStyle w:val="Listenabsatz"/>
        <w:ind w:left="142"/>
        <w:jc w:val="center"/>
        <w:rPr>
          <w:rFonts w:asciiTheme="minorBidi" w:hAnsiTheme="minorBidi"/>
          <w:iCs/>
        </w:rPr>
      </w:pPr>
      <w:r w:rsidRPr="00C84E30">
        <w:rPr>
          <w:rFonts w:asciiTheme="minorBidi" w:hAnsiTheme="minorBidi"/>
          <w:iCs/>
        </w:rPr>
        <w:t xml:space="preserve">Projekt des Instituts für Religionswissenschaft </w:t>
      </w:r>
      <w:r>
        <w:rPr>
          <w:rFonts w:asciiTheme="minorBidi" w:hAnsiTheme="minorBidi"/>
          <w:iCs/>
        </w:rPr>
        <w:t xml:space="preserve">an der Karl-Franzens-Universität Graz </w:t>
      </w:r>
    </w:p>
    <w:p w14:paraId="3049252B" w14:textId="77777777" w:rsidR="0080510B" w:rsidRDefault="0080510B" w:rsidP="0080510B">
      <w:pPr>
        <w:pStyle w:val="Listenabsatz"/>
        <w:ind w:left="142"/>
        <w:jc w:val="center"/>
        <w:rPr>
          <w:rFonts w:asciiTheme="minorBidi" w:hAnsiTheme="minorBidi"/>
          <w:iCs/>
        </w:rPr>
      </w:pPr>
      <w:r w:rsidRPr="00C84E30">
        <w:rPr>
          <w:rFonts w:asciiTheme="minorBidi" w:hAnsiTheme="minorBidi"/>
          <w:iCs/>
        </w:rPr>
        <w:t>(2013-2016)</w:t>
      </w:r>
    </w:p>
    <w:p w14:paraId="0123BE90" w14:textId="77777777" w:rsidR="0080510B" w:rsidRPr="00C84E30" w:rsidRDefault="0080510B" w:rsidP="0080510B">
      <w:pPr>
        <w:pStyle w:val="Listenabsatz"/>
        <w:ind w:left="142"/>
        <w:jc w:val="center"/>
        <w:rPr>
          <w:rFonts w:asciiTheme="minorBidi" w:hAnsiTheme="minorBidi"/>
          <w:iCs/>
        </w:rPr>
      </w:pPr>
      <w:r>
        <w:rPr>
          <w:rFonts w:asciiTheme="minorBidi" w:hAnsiTheme="minorBidi"/>
          <w:iCs/>
        </w:rPr>
        <w:t>Förderung: Jubiläumsfond der Nationalbank Österreichs</w:t>
      </w:r>
    </w:p>
    <w:p w14:paraId="535248EB" w14:textId="77777777" w:rsidR="0080510B" w:rsidRPr="00C84E30" w:rsidRDefault="0080510B" w:rsidP="0080510B">
      <w:pPr>
        <w:pStyle w:val="Listenabsatz"/>
        <w:ind w:left="142"/>
        <w:jc w:val="center"/>
        <w:rPr>
          <w:rFonts w:asciiTheme="minorBidi" w:hAnsiTheme="minorBidi"/>
          <w:iCs/>
        </w:rPr>
      </w:pPr>
      <w:r w:rsidRPr="00C84E30">
        <w:rPr>
          <w:rFonts w:asciiTheme="minorBidi" w:hAnsiTheme="minorBidi"/>
          <w:iCs/>
        </w:rPr>
        <w:t>Leitung: Prof.</w:t>
      </w:r>
      <w:r w:rsidRPr="000B6E03">
        <w:rPr>
          <w:rFonts w:asciiTheme="minorBidi" w:hAnsiTheme="minorBidi"/>
          <w:iCs/>
          <w:vertAlign w:val="superscript"/>
        </w:rPr>
        <w:t>in</w:t>
      </w:r>
      <w:r w:rsidRPr="00C84E30">
        <w:rPr>
          <w:rFonts w:asciiTheme="minorBidi" w:hAnsiTheme="minorBidi"/>
          <w:iCs/>
        </w:rPr>
        <w:t xml:space="preserve"> Dr.</w:t>
      </w:r>
      <w:r w:rsidRPr="000B6E03">
        <w:rPr>
          <w:rFonts w:asciiTheme="minorBidi" w:hAnsiTheme="minorBidi"/>
          <w:iCs/>
          <w:vertAlign w:val="superscript"/>
        </w:rPr>
        <w:t>in</w:t>
      </w:r>
      <w:r w:rsidRPr="00C84E30">
        <w:rPr>
          <w:rFonts w:asciiTheme="minorBidi" w:hAnsiTheme="minorBidi"/>
          <w:iCs/>
        </w:rPr>
        <w:t xml:space="preserve"> Ulrike Bechmann</w:t>
      </w:r>
    </w:p>
    <w:p w14:paraId="16C43877" w14:textId="77777777" w:rsidR="0080510B" w:rsidRPr="00C84E30" w:rsidRDefault="0080510B" w:rsidP="0080510B">
      <w:pPr>
        <w:pStyle w:val="Listenabsatz"/>
        <w:ind w:left="142"/>
        <w:jc w:val="center"/>
        <w:rPr>
          <w:rFonts w:asciiTheme="minorBidi" w:hAnsiTheme="minorBidi"/>
          <w:b/>
          <w:bCs/>
          <w:iCs/>
        </w:rPr>
      </w:pPr>
      <w:r w:rsidRPr="00C84E30">
        <w:rPr>
          <w:rFonts w:asciiTheme="minorBidi" w:hAnsiTheme="minorBidi"/>
          <w:iCs/>
        </w:rPr>
        <w:t>Mitarbeiter: Rainer Zimmer-Winkel, M.A</w:t>
      </w:r>
      <w:r>
        <w:rPr>
          <w:rFonts w:asciiTheme="minorBidi" w:hAnsiTheme="minorBidi"/>
          <w:b/>
          <w:bCs/>
          <w:iCs/>
        </w:rPr>
        <w:t>.</w:t>
      </w:r>
    </w:p>
    <w:p w14:paraId="00B6EB0D" w14:textId="77777777" w:rsidR="0080510B" w:rsidRDefault="0080510B" w:rsidP="0080510B"/>
    <w:p w14:paraId="0463FF95" w14:textId="77777777" w:rsidR="0080510B" w:rsidRDefault="0080510B" w:rsidP="0080510B">
      <w:pPr>
        <w:jc w:val="both"/>
        <w:rPr>
          <w:rFonts w:ascii="Times New Roman" w:hAnsi="Times New Roman"/>
        </w:rPr>
      </w:pPr>
      <w:r w:rsidRPr="006E250E">
        <w:rPr>
          <w:rFonts w:ascii="Times New Roman" w:hAnsi="Times New Roman"/>
        </w:rPr>
        <w:t xml:space="preserve">Jerusalem </w:t>
      </w:r>
      <w:r>
        <w:rPr>
          <w:rFonts w:ascii="Times New Roman" w:hAnsi="Times New Roman"/>
        </w:rPr>
        <w:t xml:space="preserve">hat </w:t>
      </w:r>
      <w:r w:rsidRPr="006E250E">
        <w:rPr>
          <w:rFonts w:ascii="Times New Roman" w:hAnsi="Times New Roman"/>
        </w:rPr>
        <w:t xml:space="preserve">als Ursprungsort des Christentums für alle Kirchen weltweit eine besondere Bedeutung, was die Präsenz </w:t>
      </w:r>
      <w:r>
        <w:rPr>
          <w:rFonts w:ascii="Times New Roman" w:hAnsi="Times New Roman"/>
        </w:rPr>
        <w:t xml:space="preserve">der meisten christlichen Konfessionen vor Ort sowie die Attraktivität als Pilgerort durch die Jahrhunderte hindurch belegt. Hat Jerusalem darüber hinaus eine vom Ursprung </w:t>
      </w:r>
      <w:proofErr w:type="gramStart"/>
      <w:r>
        <w:rPr>
          <w:rFonts w:ascii="Times New Roman" w:hAnsi="Times New Roman"/>
        </w:rPr>
        <w:t>her kommende</w:t>
      </w:r>
      <w:proofErr w:type="gramEnd"/>
      <w:r>
        <w:rPr>
          <w:rFonts w:ascii="Times New Roman" w:hAnsi="Times New Roman"/>
        </w:rPr>
        <w:t xml:space="preserve"> einigende Kraft auf die Kirchen? Das Projekt untersuchte, inwieweit vor Ort Jerusalem für eine Ökumene der Kirchen relevant ist und bzw. oder ob Jerusalem für die Kirchen als religiöser Topos auf dem Weg zu einer christlichen Ökumene eine Rolle spielt.</w:t>
      </w:r>
    </w:p>
    <w:p w14:paraId="0B50B0E7" w14:textId="77777777" w:rsidR="0080510B" w:rsidRDefault="0080510B" w:rsidP="0080510B">
      <w:pPr>
        <w:rPr>
          <w:rFonts w:ascii="Times New Roman" w:hAnsi="Times New Roman"/>
        </w:rPr>
      </w:pPr>
      <w:r w:rsidRPr="00EE6E71">
        <w:rPr>
          <w:rFonts w:ascii="Times New Roman" w:hAnsi="Times New Roman"/>
          <w:b/>
        </w:rPr>
        <w:t>Kurzbeschreibung</w:t>
      </w:r>
    </w:p>
    <w:p w14:paraId="319F4E9D" w14:textId="77777777" w:rsidR="0080510B" w:rsidRDefault="0080510B" w:rsidP="0080510B">
      <w:pPr>
        <w:jc w:val="both"/>
        <w:rPr>
          <w:rFonts w:ascii="Times New Roman" w:hAnsi="Times New Roman"/>
        </w:rPr>
      </w:pPr>
      <w:r>
        <w:rPr>
          <w:rFonts w:ascii="Times New Roman" w:hAnsi="Times New Roman"/>
        </w:rPr>
        <w:t xml:space="preserve">Jerusalem ist der Ursprungsort des Christentums und als solcher relativ früh schon zum „heiligen Ort“, mindestens aber zum Erinnerungsort an die Geschichte Jesu und die ersten Christen und Christinnen geworden. Die Stadt hat ihre Anziehungskraft für </w:t>
      </w:r>
      <w:proofErr w:type="spellStart"/>
      <w:r>
        <w:rPr>
          <w:rFonts w:ascii="Times New Roman" w:hAnsi="Times New Roman"/>
        </w:rPr>
        <w:t>PilgerInnen</w:t>
      </w:r>
      <w:proofErr w:type="spellEnd"/>
      <w:r>
        <w:rPr>
          <w:rFonts w:ascii="Times New Roman" w:hAnsi="Times New Roman"/>
        </w:rPr>
        <w:t xml:space="preserve"> nie verloren, für viele Kirchen ist es bedeutsam, in Jerusalem präsent zu sein. Doch wie wirkt dieser Ursprung auf die Kirchen, wenn sie vor Ort sind? Gewinnt der Ort eine ökumenisch-einigende Kraft durch die Erinnerung der ungeteilten Anfänge? Spielt für die ökumenische Bewegung, die sich mit der Gründung des Weltkirchenrats 1948 gründete, eine Rolle? Das Projekt untersuchte die Zugänge der in Jerusalem ansässigen Kirchen und für die kirchlichen Entwicklungen wie für die Ökumene wichtigen Personen zur Funktion und Bedeutung von Jerusalem. Durch zahlreiche Interviews und die Sichtung der (auch grauen) Literatur zeigte sich, dass nur ein Ergebnis für alle gilt: Ökumene hat für die unterschiedlichen kirchlichen Player sehr unterschiedliche Bedeutungen, weshalb es sehr viele verschiedene Formen von Ökumene in Jerusalem gibt. Um Ökumene in Jerusalem nachzuzeichnen, bedarf es eines dreidimensionalen Bildes, denn die kirchliche(n) Geschichte(n), die </w:t>
      </w:r>
      <w:proofErr w:type="spellStart"/>
      <w:r>
        <w:rPr>
          <w:rFonts w:ascii="Times New Roman" w:hAnsi="Times New Roman"/>
        </w:rPr>
        <w:t>konfliktive</w:t>
      </w:r>
      <w:proofErr w:type="spellEnd"/>
      <w:r>
        <w:rPr>
          <w:rFonts w:ascii="Times New Roman" w:hAnsi="Times New Roman"/>
        </w:rPr>
        <w:t xml:space="preserve"> politische Entwicklung seit Ende des 19. </w:t>
      </w:r>
      <w:proofErr w:type="spellStart"/>
      <w:r>
        <w:rPr>
          <w:rFonts w:ascii="Times New Roman" w:hAnsi="Times New Roman"/>
        </w:rPr>
        <w:t>Jhs</w:t>
      </w:r>
      <w:proofErr w:type="spellEnd"/>
      <w:r>
        <w:rPr>
          <w:rFonts w:ascii="Times New Roman" w:hAnsi="Times New Roman"/>
        </w:rPr>
        <w:t xml:space="preserve">. und die multidimensionalen Ausformungen christlicher Präsenz in Jerusalem führen zu sehr diversen Beziehungen untereinander. In Jerusalem existieren sowohl autochthone Kirchen, die aber nicht zu trennen sind von ihrer Einbindung in die jeweilige größere Kirche, die wiederum zu einer Präsenz von </w:t>
      </w:r>
      <w:proofErr w:type="spellStart"/>
      <w:r>
        <w:rPr>
          <w:rFonts w:ascii="Times New Roman" w:hAnsi="Times New Roman"/>
        </w:rPr>
        <w:t>KirchenvertreterInnen</w:t>
      </w:r>
      <w:proofErr w:type="spellEnd"/>
      <w:r>
        <w:rPr>
          <w:rFonts w:ascii="Times New Roman" w:hAnsi="Times New Roman"/>
        </w:rPr>
        <w:t xml:space="preserve"> der jeweils zentralen Institution führt, sowie Missionskirchen, Orden und Einzelpersönlichkeiten kirchlicher Provenienz, die mit eigenen Interessen in Jerusalem präsent sein wollen. Die historischen Wurzeln der Kirchen vor Ort reichen in unterschiedliche Tiefen der Geschichte, so dass die Bedeutsamkeit von Jerusalem dadurch äußerst unterschiedlich geprägt ist. Die gemeinsame politische, wirtschaftliche und soziale Geschichte der autochthonen palästinensischen Kirchen im Land haben durch den Druck auf sie seit den 1980er Jahren eine ganz eigene Ökumene entwickelt, die quer zu den Kirchengrenzen eine eigene Solidarität aufbaute, aber zu einer Spaltung zum ausländischen Teil ihrer Kirchen </w:t>
      </w:r>
      <w:r>
        <w:rPr>
          <w:rFonts w:ascii="Times New Roman" w:hAnsi="Times New Roman"/>
        </w:rPr>
        <w:lastRenderedPageBreak/>
        <w:t xml:space="preserve">führte. Die Kirchen, die im Osmanischen Reich präsent waren, entwickelten durch das osmanische </w:t>
      </w:r>
      <w:proofErr w:type="spellStart"/>
      <w:r>
        <w:rPr>
          <w:rFonts w:ascii="Times New Roman" w:hAnsi="Times New Roman"/>
        </w:rPr>
        <w:t>Milletsystem</w:t>
      </w:r>
      <w:proofErr w:type="spellEnd"/>
      <w:r>
        <w:rPr>
          <w:rFonts w:ascii="Times New Roman" w:hAnsi="Times New Roman"/>
        </w:rPr>
        <w:t xml:space="preserve"> sowohl eine Binnendifferenzierung und Konkurrenz zwischen den Kirchen, als auch einen „</w:t>
      </w:r>
      <w:proofErr w:type="spellStart"/>
      <w:r>
        <w:rPr>
          <w:rFonts w:ascii="Times New Roman" w:hAnsi="Times New Roman"/>
        </w:rPr>
        <w:t>forced</w:t>
      </w:r>
      <w:proofErr w:type="spellEnd"/>
      <w:r>
        <w:rPr>
          <w:rFonts w:ascii="Times New Roman" w:hAnsi="Times New Roman"/>
        </w:rPr>
        <w:t xml:space="preserve"> </w:t>
      </w:r>
      <w:proofErr w:type="spellStart"/>
      <w:r>
        <w:rPr>
          <w:rFonts w:ascii="Times New Roman" w:hAnsi="Times New Roman"/>
        </w:rPr>
        <w:t>ecumenism</w:t>
      </w:r>
      <w:proofErr w:type="spellEnd"/>
      <w:r>
        <w:rPr>
          <w:rFonts w:ascii="Times New Roman" w:hAnsi="Times New Roman"/>
        </w:rPr>
        <w:t xml:space="preserve">“ durch die Regelung des </w:t>
      </w:r>
      <w:proofErr w:type="spellStart"/>
      <w:r>
        <w:rPr>
          <w:rFonts w:ascii="Times New Roman" w:hAnsi="Times New Roman"/>
        </w:rPr>
        <w:t>status</w:t>
      </w:r>
      <w:proofErr w:type="spellEnd"/>
      <w:r>
        <w:rPr>
          <w:rFonts w:ascii="Times New Roman" w:hAnsi="Times New Roman"/>
        </w:rPr>
        <w:t xml:space="preserve"> quo 1852, der gerade für die zentralen Holy Places in Jerusalem und Bethlehem eine bis heute geltende Regelungen für die jeweilige Nutzung der Stätten getroffen hat. Den ökumenischen Gedanken verfolgten insbesondere nach dem 2. Weltkrieg Einzelpersönlichkeiten unterschiedlicher Kirchen mit eigenen, eher informellen, Formen. Anhand der vielfältigen Ausformungen von ökumenischen Beziehungen in Jerusalem, die gleichzeitig verbunden sind mit gegenseitigen Antagonismen, bietet die Jerusalem ein Feld, von dem her der Begriff Ökumene quasi „von unten“, von der realen gelebten Ökumene her, eine Begriffsdifferenzierung erfährt. Diese kontrastiert mit dem theologischen Begriff der Ökumene, der von der Theologie her theoretisch vielen Ökumene-Bewegungen zugrunde liegt. Erst von daher lässt sich das Ergebnis verstehen, dass Jerusalem selbst als Ort des gemeinsamen Ursprungs für die ökumenische Bewegung keine herausragende Rolle gespielt hat oder auch jetzt noch spielt. </w:t>
      </w:r>
    </w:p>
    <w:p w14:paraId="4797BC8D" w14:textId="77777777" w:rsidR="0080510B" w:rsidRDefault="0080510B" w:rsidP="0080510B">
      <w:pPr>
        <w:jc w:val="both"/>
        <w:rPr>
          <w:rFonts w:ascii="Times New Roman" w:hAnsi="Times New Roman"/>
        </w:rPr>
      </w:pPr>
      <w:r>
        <w:rPr>
          <w:rFonts w:ascii="Times New Roman" w:hAnsi="Times New Roman"/>
        </w:rPr>
        <w:t xml:space="preserve">Das Projekt untersuchte anhand von Texten der Kirchen wie einzelnen Personen der christlichen Kirchen in Jerusalem sowie durch Interviews die unterschiedlichen Positionen zur Ökumene sowie die realen ökumenischen Prozesse, die über die Jahre lokal stattfanden. Dabei erwies sich die Recherche als schwierig, immer wieder auch blockiert durch politische Entwicklungen. </w:t>
      </w:r>
    </w:p>
    <w:p w14:paraId="23293F45" w14:textId="77777777" w:rsidR="0080510B" w:rsidRDefault="0080510B" w:rsidP="0080510B">
      <w:pPr>
        <w:rPr>
          <w:rFonts w:ascii="Adobe Garamond Pro" w:hAnsi="Adobe Garamond Pro"/>
          <w:b/>
          <w:bCs/>
        </w:rPr>
      </w:pPr>
    </w:p>
    <w:p w14:paraId="006D0FF0" w14:textId="77777777" w:rsidR="0080510B" w:rsidRPr="000B6E03" w:rsidRDefault="0080510B" w:rsidP="0080510B">
      <w:pPr>
        <w:rPr>
          <w:rFonts w:ascii="Adobe Garamond Pro" w:hAnsi="Adobe Garamond Pro" w:cstheme="minorBidi"/>
          <w:b/>
          <w:bCs/>
          <w:sz w:val="22"/>
          <w:szCs w:val="22"/>
        </w:rPr>
      </w:pPr>
      <w:r w:rsidRPr="00AF29A9">
        <w:rPr>
          <w:rFonts w:ascii="Adobe Garamond Pro" w:hAnsi="Adobe Garamond Pro"/>
          <w:b/>
          <w:bCs/>
        </w:rPr>
        <w:t>Dokumentation</w:t>
      </w:r>
    </w:p>
    <w:p w14:paraId="730923CE" w14:textId="77777777" w:rsidR="0080510B" w:rsidRDefault="0080510B" w:rsidP="0080510B">
      <w:pPr>
        <w:rPr>
          <w:rFonts w:ascii="Adobe Garamond Pro" w:hAnsi="Adobe Garamond Pro"/>
        </w:rPr>
      </w:pPr>
    </w:p>
    <w:p w14:paraId="40AF89D4" w14:textId="77777777" w:rsidR="0080510B" w:rsidRPr="000B6E03" w:rsidRDefault="0080510B" w:rsidP="0080510B">
      <w:pPr>
        <w:jc w:val="both"/>
        <w:rPr>
          <w:rFonts w:ascii="Times New Roman" w:hAnsi="Times New Roman"/>
        </w:rPr>
      </w:pPr>
      <w:r>
        <w:rPr>
          <w:rFonts w:ascii="Adobe Garamond Pro" w:hAnsi="Adobe Garamond Pro"/>
        </w:rPr>
        <w:t>Während der Forschungsphase erwies sich, dass die Dokumente zu den ökumenischen Ereignissen und Prozessen in Jerusalem in keiner Weise dokumentiert sind. Einzelne Texte von großen Organisationen sind über diese zugänglich. Viele andere sind jedoch als „graue Literatur“ nur noch schwer auffindbar.</w:t>
      </w:r>
      <w:r w:rsidRPr="000B6E03">
        <w:rPr>
          <w:rFonts w:ascii="Times New Roman" w:hAnsi="Times New Roman"/>
        </w:rPr>
        <w:t xml:space="preserve"> </w:t>
      </w:r>
    </w:p>
    <w:p w14:paraId="29474FED" w14:textId="77777777" w:rsidR="0080510B" w:rsidRDefault="0080510B" w:rsidP="0080510B">
      <w:pPr>
        <w:rPr>
          <w:rFonts w:ascii="Adobe Garamond Pro" w:hAnsi="Adobe Garamond Pro"/>
        </w:rPr>
      </w:pPr>
      <w:r>
        <w:rPr>
          <w:rFonts w:ascii="Adobe Garamond Pro" w:hAnsi="Adobe Garamond Pro"/>
        </w:rPr>
        <w:t xml:space="preserve">Vor die Auswertung der Literatur, Interviews und Dokumente wurde daher als Ziel die Publikation aller aufgefundenen Dokumente in einer Datei gestellt, die dann auch öffentlich zugänglich gemacht werden soll. Diese Datei wird weiterhin ergänzt, umfasst jetzt aber schon mehr als 350 Dokumente. Sie ist erreichbar über </w:t>
      </w:r>
    </w:p>
    <w:p w14:paraId="0A8284D8" w14:textId="77777777" w:rsidR="00A06D8C" w:rsidRDefault="00A06D8C" w:rsidP="0080510B"/>
    <w:bookmarkStart w:id="0" w:name="_GoBack"/>
    <w:bookmarkEnd w:id="0"/>
    <w:p w14:paraId="2FD1FCA2" w14:textId="704B0EC5" w:rsidR="0080510B" w:rsidRDefault="0080510B" w:rsidP="0080510B">
      <w:r>
        <w:fldChar w:fldCharType="begin"/>
      </w:r>
      <w:r>
        <w:instrText xml:space="preserve"> HYPERLINK "http://oij.aphorisma.net" \t "_blank" </w:instrText>
      </w:r>
      <w:r>
        <w:fldChar w:fldCharType="separate"/>
      </w:r>
      <w:r>
        <w:rPr>
          <w:rStyle w:val="Hyperlink"/>
        </w:rPr>
        <w:t>http://oij.aphorisma.net</w:t>
      </w:r>
      <w:r>
        <w:fldChar w:fldCharType="end"/>
      </w:r>
    </w:p>
    <w:p w14:paraId="25D59BE9" w14:textId="0E3C2873" w:rsidR="0080510B" w:rsidRDefault="0080510B" w:rsidP="0080510B">
      <w:r w:rsidRPr="000B6E03">
        <w:rPr>
          <w:i/>
          <w:iCs/>
        </w:rPr>
        <w:t>Empfohlene Zitierweise</w:t>
      </w:r>
      <w:r>
        <w:t xml:space="preserve">: Karl-Franzen-Universität Graz, Institut für Religionswissenschaft. Projekt: (In) Jerusalem ökumenisch Denken. Die Heilige Stadt als Topos ökumenisch-theologischer Reflexion (2013-2016). </w:t>
      </w:r>
    </w:p>
    <w:p w14:paraId="34E86A4B" w14:textId="77777777" w:rsidR="0080510B" w:rsidRDefault="0080510B" w:rsidP="0080510B"/>
    <w:p w14:paraId="0ECAF0F2" w14:textId="3238E15E" w:rsidR="0080510B" w:rsidRDefault="0080510B" w:rsidP="0080510B">
      <w:pPr>
        <w:rPr>
          <w:rFonts w:ascii="Adobe Garamond Pro" w:hAnsi="Adobe Garamond Pro"/>
        </w:rPr>
      </w:pPr>
      <w:r>
        <w:rPr>
          <w:rFonts w:ascii="Adobe Garamond Pro" w:hAnsi="Adobe Garamond Pro"/>
          <w:b/>
          <w:bCs/>
        </w:rPr>
        <w:t>Bericht</w:t>
      </w:r>
      <w:r>
        <w:rPr>
          <w:rFonts w:ascii="Adobe Garamond Pro" w:hAnsi="Adobe Garamond Pro"/>
        </w:rPr>
        <w:t xml:space="preserve">: </w:t>
      </w:r>
    </w:p>
    <w:p w14:paraId="5060618B" w14:textId="75C8354F" w:rsidR="004E4FB3" w:rsidRDefault="004E4FB3" w:rsidP="004E4FB3">
      <w:pPr>
        <w:rPr>
          <w:rFonts w:ascii="Adobe Garamond Pro" w:hAnsi="Adobe Garamond Pro"/>
        </w:rPr>
      </w:pPr>
      <w:proofErr w:type="spellStart"/>
      <w:r>
        <w:rPr>
          <w:rFonts w:ascii="Adobe Garamond Pro" w:hAnsi="Adobe Garamond Pro"/>
        </w:rPr>
        <w:t>KFUniversität</w:t>
      </w:r>
      <w:proofErr w:type="spellEnd"/>
      <w:r>
        <w:rPr>
          <w:rFonts w:ascii="Adobe Garamond Pro" w:hAnsi="Adobe Garamond Pro"/>
        </w:rPr>
        <w:t xml:space="preserve"> Graz: </w:t>
      </w:r>
      <w:proofErr w:type="spellStart"/>
      <w:r>
        <w:rPr>
          <w:rFonts w:ascii="Adobe Garamond Pro" w:hAnsi="Adobe Garamond Pro"/>
        </w:rPr>
        <w:t>UniZeit</w:t>
      </w:r>
      <w:proofErr w:type="spellEnd"/>
      <w:r>
        <w:rPr>
          <w:rFonts w:ascii="Adobe Garamond Pro" w:hAnsi="Adobe Garamond Pro"/>
        </w:rPr>
        <w:t xml:space="preserve">:  </w:t>
      </w:r>
      <w:hyperlink r:id="rId8" w:history="1">
        <w:r w:rsidRPr="00E35B82">
          <w:rPr>
            <w:rStyle w:val="Hyperlink"/>
            <w:rFonts w:ascii="Adobe Garamond Pro" w:hAnsi="Adobe Garamond Pro"/>
          </w:rPr>
          <w:t>https://on.uni-graz.at/de/detail/article/harmonie-zur-heiligen-nacht/</w:t>
        </w:r>
      </w:hyperlink>
    </w:p>
    <w:p w14:paraId="4B2AA2E0" w14:textId="5E9D12DA" w:rsidR="0080510B" w:rsidRDefault="004E4FB3" w:rsidP="0080510B">
      <w:pPr>
        <w:rPr>
          <w:rFonts w:ascii="Adobe Garamond Pro" w:hAnsi="Adobe Garamond Pro"/>
        </w:rPr>
      </w:pPr>
      <w:proofErr w:type="spellStart"/>
      <w:r>
        <w:rPr>
          <w:rFonts w:ascii="Adobe Garamond Pro" w:hAnsi="Adobe Garamond Pro"/>
        </w:rPr>
        <w:t>KF_Universität</w:t>
      </w:r>
      <w:proofErr w:type="spellEnd"/>
      <w:r>
        <w:rPr>
          <w:rFonts w:ascii="Adobe Garamond Pro" w:hAnsi="Adobe Garamond Pro"/>
        </w:rPr>
        <w:t xml:space="preserve"> Graz: </w:t>
      </w:r>
      <w:proofErr w:type="spellStart"/>
      <w:r>
        <w:rPr>
          <w:rFonts w:ascii="Adobe Garamond Pro" w:hAnsi="Adobe Garamond Pro"/>
        </w:rPr>
        <w:t>Uni.on</w:t>
      </w:r>
      <w:proofErr w:type="spellEnd"/>
      <w:r>
        <w:rPr>
          <w:rFonts w:ascii="Adobe Garamond Pro" w:hAnsi="Adobe Garamond Pro"/>
        </w:rPr>
        <w:t xml:space="preserve">  </w:t>
      </w:r>
      <w:hyperlink r:id="rId9" w:history="1">
        <w:r w:rsidRPr="00E35B82">
          <w:rPr>
            <w:rStyle w:val="Hyperlink"/>
            <w:rFonts w:ascii="Adobe Garamond Pro" w:hAnsi="Adobe Garamond Pro"/>
          </w:rPr>
          <w:t>http://unipub.uni-graz.at/oazuzt/periodical/pageview/1563854</w:t>
        </w:r>
      </w:hyperlink>
    </w:p>
    <w:p w14:paraId="34CEEA26" w14:textId="7B4A981A" w:rsidR="004E4FB3" w:rsidRDefault="004E4FB3" w:rsidP="0080510B">
      <w:pPr>
        <w:rPr>
          <w:rFonts w:ascii="Adobe Garamond Pro" w:hAnsi="Adobe Garamond Pro"/>
        </w:rPr>
      </w:pPr>
    </w:p>
    <w:p w14:paraId="77BA2403" w14:textId="77777777" w:rsidR="004E4FB3" w:rsidRDefault="004E4FB3" w:rsidP="0080510B">
      <w:pPr>
        <w:rPr>
          <w:rFonts w:ascii="Adobe Garamond Pro" w:hAnsi="Adobe Garamond Pro"/>
        </w:rPr>
      </w:pPr>
    </w:p>
    <w:p w14:paraId="1A8A2957" w14:textId="77777777" w:rsidR="0080510B" w:rsidRDefault="0080510B" w:rsidP="0080510B">
      <w:pPr>
        <w:rPr>
          <w:rFonts w:ascii="Adobe Garamond Pro" w:hAnsi="Adobe Garamond Pro"/>
        </w:rPr>
      </w:pPr>
      <w:r>
        <w:rPr>
          <w:rFonts w:ascii="Adobe Garamond Pro" w:hAnsi="Adobe Garamond Pro"/>
        </w:rPr>
        <w:t>Wir danken dem J</w:t>
      </w:r>
      <w:r w:rsidRPr="00A37C58">
        <w:rPr>
          <w:rFonts w:ascii="Adobe Garamond Pro" w:hAnsi="Adobe Garamond Pro"/>
        </w:rPr>
        <w:t>ubiläumsfond</w:t>
      </w:r>
      <w:r>
        <w:rPr>
          <w:rFonts w:ascii="Adobe Garamond Pro" w:hAnsi="Adobe Garamond Pro"/>
        </w:rPr>
        <w:t>s</w:t>
      </w:r>
      <w:r w:rsidRPr="00A37C58">
        <w:rPr>
          <w:rFonts w:ascii="Adobe Garamond Pro" w:hAnsi="Adobe Garamond Pro"/>
        </w:rPr>
        <w:t xml:space="preserve"> der Österreichischen Nationalbank</w:t>
      </w:r>
      <w:r>
        <w:rPr>
          <w:rFonts w:ascii="Adobe Garamond Pro" w:hAnsi="Adobe Garamond Pro"/>
        </w:rPr>
        <w:t xml:space="preserve"> für die Förderung des Projekts</w:t>
      </w:r>
    </w:p>
    <w:p w14:paraId="20D095BA" w14:textId="3576D261" w:rsidR="00AE4245" w:rsidRPr="00AE4245" w:rsidRDefault="00AE4245" w:rsidP="00AE4245">
      <w:pPr>
        <w:rPr>
          <w:rFonts w:asciiTheme="majorBidi" w:hAnsiTheme="majorBidi" w:cstheme="majorBidi"/>
        </w:rPr>
      </w:pPr>
    </w:p>
    <w:p w14:paraId="1357BB72" w14:textId="77777777" w:rsidR="00AE4245" w:rsidRPr="00AE4245" w:rsidRDefault="00AE4245" w:rsidP="00AE4245">
      <w:pPr>
        <w:rPr>
          <w:rFonts w:asciiTheme="majorBidi" w:hAnsiTheme="majorBidi" w:cstheme="majorBidi"/>
        </w:rPr>
      </w:pPr>
    </w:p>
    <w:p w14:paraId="276E3CF6" w14:textId="7BD16955" w:rsidR="002F37F4" w:rsidRPr="00AE4245" w:rsidRDefault="002F37F4" w:rsidP="00F053E4">
      <w:pPr>
        <w:jc w:val="both"/>
        <w:rPr>
          <w:rFonts w:asciiTheme="majorBidi" w:hAnsiTheme="majorBidi" w:cstheme="majorBidi"/>
        </w:rPr>
      </w:pPr>
    </w:p>
    <w:sectPr w:rsidR="002F37F4" w:rsidRPr="00AE4245" w:rsidSect="00BE7001">
      <w:headerReference w:type="even" r:id="rId10"/>
      <w:headerReference w:type="default" r:id="rId11"/>
      <w:footerReference w:type="even" r:id="rId12"/>
      <w:footerReference w:type="default" r:id="rId13"/>
      <w:headerReference w:type="first" r:id="rId14"/>
      <w:footerReference w:type="first" r:id="rId15"/>
      <w:pgSz w:w="11899" w:h="16838"/>
      <w:pgMar w:top="1418" w:right="1418" w:bottom="1134" w:left="1418" w:header="720" w:footer="28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99FCD" w14:textId="77777777" w:rsidR="00D54696" w:rsidRDefault="00D54696" w:rsidP="00BE7001">
      <w:r>
        <w:separator/>
      </w:r>
    </w:p>
  </w:endnote>
  <w:endnote w:type="continuationSeparator" w:id="0">
    <w:p w14:paraId="3DA2D621" w14:textId="77777777" w:rsidR="00D54696" w:rsidRDefault="00D54696" w:rsidP="00BE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FranklinGothic">
    <w:panose1 w:val="000004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75641" w14:textId="77777777" w:rsidR="000C1F9B" w:rsidRDefault="000C1F9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176" w:type="dxa"/>
      <w:tblLook w:val="00A0" w:firstRow="1" w:lastRow="0" w:firstColumn="1" w:lastColumn="0" w:noHBand="0" w:noVBand="0"/>
    </w:tblPr>
    <w:tblGrid>
      <w:gridCol w:w="9356"/>
    </w:tblGrid>
    <w:tr w:rsidR="00157881" w:rsidRPr="00FD1555" w14:paraId="609D2D14" w14:textId="77777777" w:rsidTr="00F85FE7">
      <w:trPr>
        <w:trHeight w:val="100"/>
      </w:trPr>
      <w:tc>
        <w:tcPr>
          <w:tcW w:w="9356" w:type="dxa"/>
        </w:tcPr>
        <w:p w14:paraId="59C7C9FF" w14:textId="6C1EF21B" w:rsidR="00157881" w:rsidRPr="00C95175" w:rsidRDefault="00157881" w:rsidP="00373B5C">
          <w:pPr>
            <w:pStyle w:val="ADRESSENBLOCKFUSSZEILE"/>
            <w:jc w:val="left"/>
            <w:rPr>
              <w:rFonts w:ascii="Franklin Gothic Book" w:hAnsi="Franklin Gothic Book"/>
              <w:sz w:val="20"/>
              <w:szCs w:val="20"/>
            </w:rPr>
          </w:pP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PAGE</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A06D8C">
            <w:rPr>
              <w:rStyle w:val="Seitenzahl"/>
              <w:rFonts w:ascii="Franklin Gothic Book" w:hAnsi="Franklin Gothic Book" w:cs="Courier New"/>
              <w:noProof/>
              <w:sz w:val="20"/>
              <w:szCs w:val="20"/>
            </w:rPr>
            <w:t>2</w:t>
          </w:r>
          <w:r w:rsidRPr="00C95175">
            <w:rPr>
              <w:rStyle w:val="Seitenzahl"/>
              <w:rFonts w:ascii="Franklin Gothic Book" w:hAnsi="Franklin Gothic Book" w:cs="Courier New"/>
              <w:sz w:val="20"/>
              <w:szCs w:val="20"/>
            </w:rPr>
            <w:fldChar w:fldCharType="end"/>
          </w:r>
          <w:r w:rsidRPr="00C95175">
            <w:rPr>
              <w:rStyle w:val="Seitenzahl"/>
              <w:rFonts w:ascii="Franklin Gothic Book" w:hAnsi="Franklin Gothic Book" w:cs="Courier New"/>
              <w:sz w:val="20"/>
              <w:szCs w:val="20"/>
            </w:rPr>
            <w:t xml:space="preserve"> </w:t>
          </w:r>
          <w:r w:rsidR="00373B5C">
            <w:rPr>
              <w:rStyle w:val="Seitenzahl"/>
              <w:rFonts w:ascii="Franklin Gothic Book" w:hAnsi="Franklin Gothic Book" w:cs="Courier New"/>
              <w:sz w:val="20"/>
              <w:szCs w:val="20"/>
            </w:rPr>
            <w:t>von</w:t>
          </w:r>
          <w:r w:rsidRPr="00C95175">
            <w:rPr>
              <w:rStyle w:val="Seitenzahl"/>
              <w:rFonts w:ascii="Franklin Gothic Book" w:hAnsi="Franklin Gothic Book" w:cs="Courier New"/>
              <w:sz w:val="20"/>
              <w:szCs w:val="20"/>
            </w:rPr>
            <w:t xml:space="preserve"> </w:t>
          </w:r>
          <w:r w:rsidRPr="00C95175">
            <w:rPr>
              <w:rStyle w:val="Seitenzahl"/>
              <w:rFonts w:ascii="Franklin Gothic Book" w:hAnsi="Franklin Gothic Book" w:cs="Courier New"/>
              <w:sz w:val="20"/>
              <w:szCs w:val="20"/>
            </w:rPr>
            <w:fldChar w:fldCharType="begin"/>
          </w:r>
          <w:r w:rsidRPr="00C95175">
            <w:rPr>
              <w:rStyle w:val="Seitenzahl"/>
              <w:rFonts w:ascii="Franklin Gothic Book" w:hAnsi="Franklin Gothic Book" w:cs="Courier New"/>
              <w:sz w:val="20"/>
              <w:szCs w:val="20"/>
            </w:rPr>
            <w:instrText xml:space="preserve"> </w:instrText>
          </w:r>
          <w:r w:rsidR="005F2F7B">
            <w:rPr>
              <w:rStyle w:val="Seitenzahl"/>
              <w:rFonts w:ascii="Franklin Gothic Book" w:hAnsi="Franklin Gothic Book" w:cs="Courier New"/>
              <w:sz w:val="20"/>
              <w:szCs w:val="20"/>
            </w:rPr>
            <w:instrText>NUMPAGES</w:instrText>
          </w:r>
          <w:r w:rsidRPr="00C95175">
            <w:rPr>
              <w:rStyle w:val="Seitenzahl"/>
              <w:rFonts w:ascii="Franklin Gothic Book" w:hAnsi="Franklin Gothic Book" w:cs="Courier New"/>
              <w:sz w:val="20"/>
              <w:szCs w:val="20"/>
            </w:rPr>
            <w:instrText xml:space="preserve"> </w:instrText>
          </w:r>
          <w:r w:rsidRPr="00C95175">
            <w:rPr>
              <w:rStyle w:val="Seitenzahl"/>
              <w:rFonts w:ascii="Franklin Gothic Book" w:hAnsi="Franklin Gothic Book" w:cs="Courier New"/>
              <w:sz w:val="20"/>
              <w:szCs w:val="20"/>
            </w:rPr>
            <w:fldChar w:fldCharType="separate"/>
          </w:r>
          <w:r w:rsidR="00A06D8C">
            <w:rPr>
              <w:rStyle w:val="Seitenzahl"/>
              <w:rFonts w:ascii="Franklin Gothic Book" w:hAnsi="Franklin Gothic Book" w:cs="Courier New"/>
              <w:noProof/>
              <w:sz w:val="20"/>
              <w:szCs w:val="20"/>
            </w:rPr>
            <w:t>2</w:t>
          </w:r>
          <w:r w:rsidRPr="00C95175">
            <w:rPr>
              <w:rStyle w:val="Seitenzahl"/>
              <w:rFonts w:ascii="Franklin Gothic Book" w:hAnsi="Franklin Gothic Book" w:cs="Courier New"/>
              <w:sz w:val="20"/>
              <w:szCs w:val="20"/>
            </w:rPr>
            <w:fldChar w:fldCharType="end"/>
          </w:r>
        </w:p>
      </w:tc>
    </w:tr>
  </w:tbl>
  <w:p w14:paraId="08D73242" w14:textId="77777777" w:rsidR="00217564" w:rsidRDefault="0021756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55" w:type="dxa"/>
      <w:tblInd w:w="-176" w:type="dxa"/>
      <w:tblLook w:val="00A0" w:firstRow="1" w:lastRow="0" w:firstColumn="1" w:lastColumn="0" w:noHBand="0" w:noVBand="0"/>
    </w:tblPr>
    <w:tblGrid>
      <w:gridCol w:w="4454"/>
      <w:gridCol w:w="5001"/>
    </w:tblGrid>
    <w:tr w:rsidR="00157881" w:rsidRPr="003C40C2" w14:paraId="794598DF" w14:textId="77777777" w:rsidTr="00633F91">
      <w:tc>
        <w:tcPr>
          <w:tcW w:w="9455" w:type="dxa"/>
          <w:gridSpan w:val="2"/>
        </w:tcPr>
        <w:p w14:paraId="51232E10" w14:textId="793D828B" w:rsidR="00633F91" w:rsidRPr="003C40C2" w:rsidRDefault="000C1F9B" w:rsidP="000C1F9B">
          <w:pPr>
            <w:pStyle w:val="Fuzeile"/>
            <w:tabs>
              <w:tab w:val="right" w:pos="5056"/>
            </w:tabs>
            <w:jc w:val="right"/>
            <w:rPr>
              <w:rFonts w:ascii="Verdana" w:hAnsi="Verdana" w:cs="FranklinGothic"/>
              <w:bCs/>
              <w:iCs/>
              <w:spacing w:val="-1"/>
              <w:kern w:val="1"/>
              <w:sz w:val="18"/>
              <w:szCs w:val="18"/>
              <w:lang w:eastAsia="de-DE"/>
            </w:rPr>
          </w:pPr>
          <w:r>
            <w:rPr>
              <w:rFonts w:ascii="Verdana" w:hAnsi="Verdana" w:cs="FranklinGothic"/>
              <w:bCs/>
              <w:iCs/>
              <w:spacing w:val="-1"/>
              <w:kern w:val="1"/>
              <w:sz w:val="18"/>
              <w:szCs w:val="18"/>
              <w:lang w:eastAsia="de-DE"/>
            </w:rPr>
            <w:t>Univ.-Prof.</w:t>
          </w:r>
          <w:r w:rsidRPr="00D52186">
            <w:rPr>
              <w:rFonts w:ascii="Verdana" w:hAnsi="Verdana" w:cs="FranklinGothic"/>
              <w:bCs/>
              <w:iCs/>
              <w:spacing w:val="-1"/>
              <w:kern w:val="1"/>
              <w:sz w:val="18"/>
              <w:szCs w:val="18"/>
              <w:vertAlign w:val="superscript"/>
              <w:lang w:eastAsia="de-DE"/>
            </w:rPr>
            <w:t>in</w:t>
          </w:r>
          <w:r>
            <w:rPr>
              <w:rFonts w:ascii="Verdana" w:hAnsi="Verdana" w:cs="FranklinGothic"/>
              <w:bCs/>
              <w:iCs/>
              <w:spacing w:val="-1"/>
              <w:kern w:val="1"/>
              <w:sz w:val="18"/>
              <w:szCs w:val="18"/>
              <w:lang w:eastAsia="de-DE"/>
            </w:rPr>
            <w:t xml:space="preserve"> Dr. Ulrike Bechmann</w:t>
          </w:r>
          <w:r w:rsidR="002C2084" w:rsidRPr="003C40C2">
            <w:rPr>
              <w:rFonts w:ascii="Verdana" w:hAnsi="Verdana" w:cs="FranklinGothic"/>
              <w:bCs/>
              <w:iCs/>
              <w:spacing w:val="-1"/>
              <w:kern w:val="1"/>
              <w:sz w:val="18"/>
              <w:szCs w:val="18"/>
              <w:lang w:eastAsia="de-DE"/>
            </w:rPr>
            <w:br/>
          </w:r>
          <w:r w:rsidR="00A6123D" w:rsidRPr="003C40C2">
            <w:rPr>
              <w:rFonts w:ascii="Verdana" w:hAnsi="Verdana" w:cs="FranklinGothic"/>
              <w:spacing w:val="-1"/>
              <w:kern w:val="1"/>
              <w:sz w:val="18"/>
              <w:szCs w:val="18"/>
              <w:lang w:eastAsia="de-DE"/>
            </w:rPr>
            <w:sym w:font="Wingdings" w:char="F02B"/>
          </w:r>
          <w:r w:rsidR="00A6123D" w:rsidRPr="003C40C2">
            <w:rPr>
              <w:rFonts w:ascii="Verdana" w:hAnsi="Verdana" w:cs="FranklinGothic"/>
              <w:spacing w:val="-1"/>
              <w:kern w:val="1"/>
              <w:sz w:val="18"/>
              <w:szCs w:val="18"/>
              <w:lang w:val="de-AT" w:eastAsia="de-DE"/>
            </w:rPr>
            <w:t xml:space="preserve"> </w:t>
          </w:r>
          <w:r>
            <w:rPr>
              <w:rFonts w:ascii="Verdana" w:hAnsi="Verdana" w:cs="FranklinGothic"/>
              <w:bCs/>
              <w:spacing w:val="-1"/>
              <w:kern w:val="1"/>
              <w:sz w:val="18"/>
              <w:szCs w:val="18"/>
              <w:lang w:eastAsia="de-DE"/>
            </w:rPr>
            <w:t>Heinrichstraße 78/II, A-8010 Graz</w:t>
          </w:r>
        </w:p>
        <w:p w14:paraId="404A30F9" w14:textId="1C61E628" w:rsidR="00A6123D" w:rsidRPr="003C40C2" w:rsidRDefault="00A6123D" w:rsidP="00633F91">
          <w:pPr>
            <w:pStyle w:val="Fuzeile"/>
            <w:tabs>
              <w:tab w:val="right" w:pos="5056"/>
            </w:tabs>
            <w:rPr>
              <w:rFonts w:ascii="Verdana" w:hAnsi="Verdana" w:cs="FranklinGothic"/>
              <w:bCs/>
              <w:spacing w:val="-1"/>
              <w:kern w:val="1"/>
              <w:sz w:val="18"/>
              <w:szCs w:val="18"/>
              <w:lang w:eastAsia="de-DE"/>
            </w:rPr>
          </w:pPr>
        </w:p>
      </w:tc>
    </w:tr>
    <w:tr w:rsidR="00157881" w:rsidRPr="00633F91" w14:paraId="5BDEF2B2" w14:textId="77777777" w:rsidTr="00633F91">
      <w:tc>
        <w:tcPr>
          <w:tcW w:w="9455" w:type="dxa"/>
          <w:gridSpan w:val="2"/>
        </w:tcPr>
        <w:p w14:paraId="7E0689BC" w14:textId="5D26F6E1" w:rsidR="00157881" w:rsidRPr="0012585A" w:rsidRDefault="002875B1" w:rsidP="00373B5C">
          <w:pPr>
            <w:pStyle w:val="ADRESSENBLOCKFUSSZEILE"/>
            <w:spacing w:line="240" w:lineRule="auto"/>
            <w:rPr>
              <w:rFonts w:ascii="Verdana" w:hAnsi="Verdana" w:cs="FranklinGothic"/>
              <w:kern w:val="1"/>
            </w:rPr>
          </w:pPr>
          <w:r w:rsidRPr="00633F91">
            <w:rPr>
              <w:rFonts w:ascii="Verdana" w:hAnsi="Verdana" w:cs="FranklinGothic"/>
              <w:kern w:val="1"/>
            </w:rPr>
            <w:t>Tel</w:t>
          </w:r>
          <w:r w:rsidR="00373B5C">
            <w:rPr>
              <w:rFonts w:ascii="Verdana" w:hAnsi="Verdana" w:cs="FranklinGothic"/>
              <w:kern w:val="1"/>
            </w:rPr>
            <w:t>efon</w:t>
          </w:r>
          <w:r w:rsidRPr="00633F91">
            <w:rPr>
              <w:rFonts w:ascii="Verdana" w:hAnsi="Verdana" w:cs="FranklinGothic"/>
              <w:kern w:val="1"/>
            </w:rPr>
            <w:t>: +43 (0) 316 / 380-</w:t>
          </w:r>
          <w:r w:rsidR="000C1F9B">
            <w:rPr>
              <w:rFonts w:ascii="Verdana" w:hAnsi="Verdana" w:cs="FranklinGothic"/>
              <w:iCs/>
              <w:kern w:val="1"/>
            </w:rPr>
            <w:t>3164</w:t>
          </w:r>
          <w:r w:rsidR="002C2084">
            <w:rPr>
              <w:rFonts w:ascii="Verdana" w:hAnsi="Verdana" w:cs="FranklinGothic"/>
              <w:iCs/>
              <w:kern w:val="1"/>
            </w:rPr>
            <w:br/>
            <w:t>Fax: +43 (0) 316</w:t>
          </w:r>
          <w:r w:rsidR="000C1F9B">
            <w:rPr>
              <w:rFonts w:ascii="Verdana" w:hAnsi="Verdana" w:cs="FranklinGothic"/>
              <w:iCs/>
              <w:kern w:val="1"/>
            </w:rPr>
            <w:t xml:space="preserve"> </w:t>
          </w:r>
          <w:r w:rsidR="002C2084">
            <w:rPr>
              <w:rFonts w:ascii="Verdana" w:hAnsi="Verdana" w:cs="FranklinGothic"/>
              <w:iCs/>
              <w:kern w:val="1"/>
            </w:rPr>
            <w:t>/ 380-</w:t>
          </w:r>
          <w:r w:rsidR="000C1F9B">
            <w:rPr>
              <w:rFonts w:ascii="Verdana" w:hAnsi="Verdana" w:cs="FranklinGothic"/>
              <w:iCs/>
              <w:kern w:val="1"/>
            </w:rPr>
            <w:t>9315</w:t>
          </w:r>
        </w:p>
      </w:tc>
    </w:tr>
    <w:tr w:rsidR="00633F91" w:rsidRPr="00633F91" w14:paraId="3A02F492" w14:textId="77777777" w:rsidTr="00633F91">
      <w:tc>
        <w:tcPr>
          <w:tcW w:w="4454" w:type="dxa"/>
        </w:tcPr>
        <w:p w14:paraId="016243BF" w14:textId="5DFAF569" w:rsidR="00633F91" w:rsidRPr="00633F91" w:rsidRDefault="00633F91" w:rsidP="00633F91">
          <w:pPr>
            <w:pStyle w:val="ADRESSENBLOCKFUSSZEILE"/>
            <w:jc w:val="left"/>
            <w:rPr>
              <w:rStyle w:val="Seitenzahl"/>
              <w:rFonts w:ascii="Verdana" w:hAnsi="Verdana" w:cs="Courier New"/>
              <w:lang w:val="de-AT"/>
            </w:rPr>
          </w:pPr>
        </w:p>
      </w:tc>
      <w:tc>
        <w:tcPr>
          <w:tcW w:w="5001" w:type="dxa"/>
        </w:tcPr>
        <w:p w14:paraId="31CDAA17" w14:textId="1B613491" w:rsidR="00633F91" w:rsidRPr="00633F91" w:rsidRDefault="00633F91" w:rsidP="00373B5C">
          <w:pPr>
            <w:pStyle w:val="ADRESSENBLOCKFUSSZEILE"/>
            <w:tabs>
              <w:tab w:val="left" w:pos="760"/>
            </w:tabs>
            <w:rPr>
              <w:rFonts w:ascii="Verdana" w:hAnsi="Verdana" w:cs="FranklinGothic"/>
              <w:bCs/>
              <w:kern w:val="1"/>
              <w:lang w:val="de-AT"/>
            </w:rPr>
          </w:pPr>
          <w:r w:rsidRPr="00633F91">
            <w:rPr>
              <w:rFonts w:ascii="Verdana" w:hAnsi="Verdana" w:cs="FranklinGothic"/>
              <w:kern w:val="1"/>
            </w:rPr>
            <w:t xml:space="preserve">E-Mail: </w:t>
          </w:r>
          <w:r w:rsidR="000C1F9B">
            <w:rPr>
              <w:rFonts w:ascii="Verdana" w:hAnsi="Verdana" w:cs="FranklinGothic"/>
              <w:iCs/>
              <w:kern w:val="1"/>
            </w:rPr>
            <w:t>ulrike.bechmann</w:t>
          </w:r>
          <w:r w:rsidR="00030FD7" w:rsidRPr="00030FD7">
            <w:rPr>
              <w:rFonts w:ascii="Verdana" w:hAnsi="Verdana" w:cs="FranklinGothic"/>
              <w:iCs/>
              <w:kern w:val="1"/>
            </w:rPr>
            <w:t>@uni-graz.at</w:t>
          </w:r>
        </w:p>
      </w:tc>
    </w:tr>
    <w:tr w:rsidR="00157881" w:rsidRPr="00633F91" w14:paraId="56208E60" w14:textId="77777777" w:rsidTr="00633F91">
      <w:tc>
        <w:tcPr>
          <w:tcW w:w="4454" w:type="dxa"/>
        </w:tcPr>
        <w:p w14:paraId="7DBF603B" w14:textId="4AA3E5DD" w:rsidR="00157881" w:rsidRPr="00633F91" w:rsidRDefault="00157881" w:rsidP="00373B5C">
          <w:pPr>
            <w:pStyle w:val="ADRESSENBLOCKFUSSZEILE"/>
            <w:jc w:val="left"/>
            <w:rPr>
              <w:rFonts w:ascii="Verdana" w:hAnsi="Verdana"/>
            </w:rPr>
          </w:pPr>
          <w:r w:rsidRPr="00633F91">
            <w:rPr>
              <w:rStyle w:val="Seitenzahl"/>
              <w:rFonts w:ascii="Verdana" w:hAnsi="Verdana" w:cs="Courier New"/>
            </w:rPr>
            <w:fldChar w:fldCharType="begin"/>
          </w:r>
          <w:r w:rsidRPr="00633F91">
            <w:rPr>
              <w:rStyle w:val="Seitenzahl"/>
              <w:rFonts w:ascii="Verdana" w:hAnsi="Verdana" w:cs="Courier New"/>
            </w:rPr>
            <w:instrText xml:space="preserve"> </w:instrText>
          </w:r>
          <w:r w:rsidR="005F2F7B" w:rsidRPr="00633F91">
            <w:rPr>
              <w:rStyle w:val="Seitenzahl"/>
              <w:rFonts w:ascii="Verdana" w:hAnsi="Verdana" w:cs="Courier New"/>
            </w:rPr>
            <w:instrText>PAGE</w:instrText>
          </w:r>
          <w:r w:rsidRPr="00633F91">
            <w:rPr>
              <w:rStyle w:val="Seitenzahl"/>
              <w:rFonts w:ascii="Verdana" w:hAnsi="Verdana" w:cs="Courier New"/>
            </w:rPr>
            <w:instrText xml:space="preserve"> </w:instrText>
          </w:r>
          <w:r w:rsidRPr="00633F91">
            <w:rPr>
              <w:rStyle w:val="Seitenzahl"/>
              <w:rFonts w:ascii="Verdana" w:hAnsi="Verdana" w:cs="Courier New"/>
            </w:rPr>
            <w:fldChar w:fldCharType="separate"/>
          </w:r>
          <w:r w:rsidR="004E4FB3">
            <w:rPr>
              <w:rStyle w:val="Seitenzahl"/>
              <w:rFonts w:ascii="Verdana" w:hAnsi="Verdana" w:cs="Courier New"/>
              <w:noProof/>
            </w:rPr>
            <w:t>1</w:t>
          </w:r>
          <w:r w:rsidRPr="00633F91">
            <w:rPr>
              <w:rStyle w:val="Seitenzahl"/>
              <w:rFonts w:ascii="Verdana" w:hAnsi="Verdana" w:cs="Courier New"/>
            </w:rPr>
            <w:fldChar w:fldCharType="end"/>
          </w:r>
          <w:r w:rsidRPr="00633F91">
            <w:rPr>
              <w:rStyle w:val="Seitenzahl"/>
              <w:rFonts w:ascii="Verdana" w:hAnsi="Verdana" w:cs="Courier New"/>
            </w:rPr>
            <w:t xml:space="preserve"> </w:t>
          </w:r>
          <w:r w:rsidR="00373B5C">
            <w:rPr>
              <w:rStyle w:val="Seitenzahl"/>
              <w:rFonts w:ascii="Verdana" w:hAnsi="Verdana" w:cs="Courier New"/>
            </w:rPr>
            <w:t>von</w:t>
          </w:r>
          <w:r w:rsidRPr="00633F91">
            <w:rPr>
              <w:rStyle w:val="Seitenzahl"/>
              <w:rFonts w:ascii="Verdana" w:hAnsi="Verdana" w:cs="Courier New"/>
            </w:rPr>
            <w:t xml:space="preserve"> </w:t>
          </w:r>
          <w:r w:rsidRPr="00633F91">
            <w:rPr>
              <w:rStyle w:val="Seitenzahl"/>
              <w:rFonts w:ascii="Verdana" w:hAnsi="Verdana" w:cs="Courier New"/>
            </w:rPr>
            <w:fldChar w:fldCharType="begin"/>
          </w:r>
          <w:r w:rsidRPr="00633F91">
            <w:rPr>
              <w:rStyle w:val="Seitenzahl"/>
              <w:rFonts w:ascii="Verdana" w:hAnsi="Verdana" w:cs="Courier New"/>
            </w:rPr>
            <w:instrText xml:space="preserve"> </w:instrText>
          </w:r>
          <w:r w:rsidR="005F2F7B" w:rsidRPr="00633F91">
            <w:rPr>
              <w:rStyle w:val="Seitenzahl"/>
              <w:rFonts w:ascii="Verdana" w:hAnsi="Verdana" w:cs="Courier New"/>
            </w:rPr>
            <w:instrText>NUMPAGES</w:instrText>
          </w:r>
          <w:r w:rsidRPr="00633F91">
            <w:rPr>
              <w:rStyle w:val="Seitenzahl"/>
              <w:rFonts w:ascii="Verdana" w:hAnsi="Verdana" w:cs="Courier New"/>
            </w:rPr>
            <w:instrText xml:space="preserve"> </w:instrText>
          </w:r>
          <w:r w:rsidRPr="00633F91">
            <w:rPr>
              <w:rStyle w:val="Seitenzahl"/>
              <w:rFonts w:ascii="Verdana" w:hAnsi="Verdana" w:cs="Courier New"/>
            </w:rPr>
            <w:fldChar w:fldCharType="separate"/>
          </w:r>
          <w:r w:rsidR="004E4FB3">
            <w:rPr>
              <w:rStyle w:val="Seitenzahl"/>
              <w:rFonts w:ascii="Verdana" w:hAnsi="Verdana" w:cs="Courier New"/>
              <w:noProof/>
            </w:rPr>
            <w:t>2</w:t>
          </w:r>
          <w:r w:rsidRPr="00633F91">
            <w:rPr>
              <w:rStyle w:val="Seitenzahl"/>
              <w:rFonts w:ascii="Verdana" w:hAnsi="Verdana" w:cs="Courier New"/>
            </w:rPr>
            <w:fldChar w:fldCharType="end"/>
          </w:r>
        </w:p>
      </w:tc>
      <w:tc>
        <w:tcPr>
          <w:tcW w:w="5001" w:type="dxa"/>
        </w:tcPr>
        <w:p w14:paraId="31DBBE4E" w14:textId="689FFFD8" w:rsidR="00633F91" w:rsidRPr="00633F91" w:rsidRDefault="000C1F9B" w:rsidP="00633F91">
          <w:pPr>
            <w:pStyle w:val="ADRESSENBLOCKFUSSZEILE"/>
            <w:tabs>
              <w:tab w:val="left" w:pos="760"/>
            </w:tabs>
            <w:rPr>
              <w:rFonts w:ascii="Verdana" w:hAnsi="Verdana" w:cs="FranklinGothic"/>
              <w:bCs/>
              <w:kern w:val="1"/>
              <w:lang w:val="de-AT"/>
            </w:rPr>
          </w:pPr>
          <w:r>
            <w:rPr>
              <w:rFonts w:ascii="Verdana" w:hAnsi="Verdana" w:cs="FranklinGothic"/>
              <w:bCs/>
              <w:kern w:val="1"/>
            </w:rPr>
            <w:t>religionswissenschaft</w:t>
          </w:r>
          <w:r w:rsidR="00373B5C">
            <w:rPr>
              <w:rFonts w:ascii="Verdana" w:hAnsi="Verdana" w:cs="FranklinGothic"/>
              <w:bCs/>
              <w:kern w:val="1"/>
            </w:rPr>
            <w:t>.uni-graz.at</w:t>
          </w:r>
        </w:p>
      </w:tc>
    </w:tr>
  </w:tbl>
  <w:p w14:paraId="3A02E320" w14:textId="77777777" w:rsidR="00217564" w:rsidRPr="00633F91" w:rsidRDefault="00217564" w:rsidP="00BE7001">
    <w:pPr>
      <w:pStyle w:val="Fuzeile"/>
      <w:jc w:val="right"/>
      <w:rPr>
        <w:rFonts w:ascii="Verdana" w:hAnsi="Verdan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DBB36" w14:textId="77777777" w:rsidR="00D54696" w:rsidRDefault="00D54696" w:rsidP="00BE7001">
      <w:r>
        <w:separator/>
      </w:r>
    </w:p>
  </w:footnote>
  <w:footnote w:type="continuationSeparator" w:id="0">
    <w:p w14:paraId="59C07E0E" w14:textId="77777777" w:rsidR="00D54696" w:rsidRDefault="00D54696" w:rsidP="00BE7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97B3" w14:textId="77777777" w:rsidR="000C1F9B" w:rsidRDefault="000C1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2EBA" w14:textId="77777777" w:rsidR="00217564" w:rsidRDefault="005F2F7B">
    <w:pPr>
      <w:pStyle w:val="Kopfzeile"/>
    </w:pPr>
    <w:r>
      <w:rPr>
        <w:noProof/>
        <w:lang w:val="de-AT" w:eastAsia="de-AT"/>
      </w:rPr>
      <w:drawing>
        <wp:anchor distT="0" distB="0" distL="114300" distR="114300" simplePos="0" relativeHeight="251657216" behindDoc="1" locked="1" layoutInCell="1" allowOverlap="1" wp14:anchorId="3FF7ED95" wp14:editId="256234EA">
          <wp:simplePos x="0" y="0"/>
          <wp:positionH relativeFrom="page">
            <wp:align>center</wp:align>
          </wp:positionH>
          <wp:positionV relativeFrom="page">
            <wp:align>bottom</wp:align>
          </wp:positionV>
          <wp:extent cx="7547610" cy="4315460"/>
          <wp:effectExtent l="0" t="0" r="0" b="254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INSTITUT_FUER_ARCHÄOLOGIE_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10" cy="4315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A6DA" w14:textId="77777777" w:rsidR="00217564" w:rsidRDefault="005F2F7B">
    <w:pPr>
      <w:pStyle w:val="Kopfzeile"/>
    </w:pPr>
    <w:r>
      <w:rPr>
        <w:noProof/>
        <w:lang w:val="de-AT" w:eastAsia="de-AT"/>
      </w:rPr>
      <w:drawing>
        <wp:anchor distT="0" distB="0" distL="114300" distR="114300" simplePos="0" relativeHeight="251658240" behindDoc="1" locked="1" layoutInCell="1" allowOverlap="1" wp14:anchorId="4394A8EF" wp14:editId="43213C4F">
          <wp:simplePos x="0" y="0"/>
          <wp:positionH relativeFrom="page">
            <wp:align>center</wp:align>
          </wp:positionH>
          <wp:positionV relativeFrom="page">
            <wp:align>top</wp:align>
          </wp:positionV>
          <wp:extent cx="7560945" cy="3603625"/>
          <wp:effectExtent l="0" t="0" r="8255" b="317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IEF_Institut für Völkerrecht-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976" cy="36036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64CD8F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C46E38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FCE9DB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E4470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D58D2B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1468DC"/>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47B5730"/>
    <w:multiLevelType w:val="multilevel"/>
    <w:tmpl w:val="4E56AED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F7867B4"/>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79D601F"/>
    <w:multiLevelType w:val="hybridMultilevel"/>
    <w:tmpl w:val="065AF766"/>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0F5FC5"/>
    <w:multiLevelType w:val="multilevel"/>
    <w:tmpl w:val="CB2E1BC2"/>
    <w:lvl w:ilvl="0">
      <w:start w:val="4"/>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4F332256"/>
    <w:multiLevelType w:val="multilevel"/>
    <w:tmpl w:val="CB2E1BC2"/>
    <w:lvl w:ilvl="0">
      <w:start w:val="4"/>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2875ED0"/>
    <w:multiLevelType w:val="hybridMultilevel"/>
    <w:tmpl w:val="DFD6AE9A"/>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11"/>
  </w:num>
  <w:num w:numId="8">
    <w:abstractNumId w:val="5"/>
  </w:num>
  <w:num w:numId="9">
    <w:abstractNumId w:val="7"/>
  </w:num>
  <w:num w:numId="10">
    <w:abstractNumId w:val="9"/>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A0"/>
    <w:rsid w:val="00010DB5"/>
    <w:rsid w:val="00030FD7"/>
    <w:rsid w:val="00057BF8"/>
    <w:rsid w:val="00066205"/>
    <w:rsid w:val="000C1F9B"/>
    <w:rsid w:val="000F36E2"/>
    <w:rsid w:val="0012585A"/>
    <w:rsid w:val="00157881"/>
    <w:rsid w:val="001B2FDA"/>
    <w:rsid w:val="001D040B"/>
    <w:rsid w:val="001D4ECB"/>
    <w:rsid w:val="001E1C2D"/>
    <w:rsid w:val="001F11FC"/>
    <w:rsid w:val="00217564"/>
    <w:rsid w:val="00226C05"/>
    <w:rsid w:val="00231380"/>
    <w:rsid w:val="002875B1"/>
    <w:rsid w:val="002A0FE1"/>
    <w:rsid w:val="002A3A65"/>
    <w:rsid w:val="002A70A1"/>
    <w:rsid w:val="002C0435"/>
    <w:rsid w:val="002C2084"/>
    <w:rsid w:val="002F37F4"/>
    <w:rsid w:val="00373B5C"/>
    <w:rsid w:val="00383758"/>
    <w:rsid w:val="00387A9A"/>
    <w:rsid w:val="00396980"/>
    <w:rsid w:val="003C40C2"/>
    <w:rsid w:val="003E0BA2"/>
    <w:rsid w:val="00401E0D"/>
    <w:rsid w:val="004021C4"/>
    <w:rsid w:val="00460A8C"/>
    <w:rsid w:val="00462A1F"/>
    <w:rsid w:val="004C3C12"/>
    <w:rsid w:val="004E4FB3"/>
    <w:rsid w:val="00534C9C"/>
    <w:rsid w:val="005A00BD"/>
    <w:rsid w:val="005F2F7B"/>
    <w:rsid w:val="005F5DBF"/>
    <w:rsid w:val="00605D8A"/>
    <w:rsid w:val="00633F91"/>
    <w:rsid w:val="00690506"/>
    <w:rsid w:val="006C703F"/>
    <w:rsid w:val="007141FC"/>
    <w:rsid w:val="00722DED"/>
    <w:rsid w:val="00745DF5"/>
    <w:rsid w:val="00760B2C"/>
    <w:rsid w:val="0076264E"/>
    <w:rsid w:val="00770069"/>
    <w:rsid w:val="00781D8E"/>
    <w:rsid w:val="007A4AB6"/>
    <w:rsid w:val="007B0CCD"/>
    <w:rsid w:val="0080510B"/>
    <w:rsid w:val="008450C2"/>
    <w:rsid w:val="008463DE"/>
    <w:rsid w:val="0086684B"/>
    <w:rsid w:val="008A4A00"/>
    <w:rsid w:val="008A58EC"/>
    <w:rsid w:val="008E2164"/>
    <w:rsid w:val="00984F1A"/>
    <w:rsid w:val="009A2D9A"/>
    <w:rsid w:val="00A06D8C"/>
    <w:rsid w:val="00A24215"/>
    <w:rsid w:val="00A6123D"/>
    <w:rsid w:val="00A61C22"/>
    <w:rsid w:val="00A80176"/>
    <w:rsid w:val="00A87A4B"/>
    <w:rsid w:val="00A92A4B"/>
    <w:rsid w:val="00AA35A6"/>
    <w:rsid w:val="00AB1FE5"/>
    <w:rsid w:val="00AE4245"/>
    <w:rsid w:val="00AF388D"/>
    <w:rsid w:val="00B433C4"/>
    <w:rsid w:val="00B7242A"/>
    <w:rsid w:val="00B75D06"/>
    <w:rsid w:val="00BC1ED2"/>
    <w:rsid w:val="00BD1D7E"/>
    <w:rsid w:val="00BD79BA"/>
    <w:rsid w:val="00BE7001"/>
    <w:rsid w:val="00C12ED5"/>
    <w:rsid w:val="00C22ABD"/>
    <w:rsid w:val="00C95175"/>
    <w:rsid w:val="00CB0C61"/>
    <w:rsid w:val="00D3236A"/>
    <w:rsid w:val="00D34D16"/>
    <w:rsid w:val="00D4028D"/>
    <w:rsid w:val="00D52186"/>
    <w:rsid w:val="00D54696"/>
    <w:rsid w:val="00D67432"/>
    <w:rsid w:val="00D82774"/>
    <w:rsid w:val="00D87CA0"/>
    <w:rsid w:val="00D90100"/>
    <w:rsid w:val="00DB1026"/>
    <w:rsid w:val="00DC50D4"/>
    <w:rsid w:val="00DD008C"/>
    <w:rsid w:val="00DD3951"/>
    <w:rsid w:val="00DF1F0E"/>
    <w:rsid w:val="00E2224C"/>
    <w:rsid w:val="00E377EA"/>
    <w:rsid w:val="00E471BC"/>
    <w:rsid w:val="00ED38FE"/>
    <w:rsid w:val="00F053E4"/>
    <w:rsid w:val="00F563B3"/>
    <w:rsid w:val="00F662B7"/>
    <w:rsid w:val="00F76CBE"/>
    <w:rsid w:val="00F85FE7"/>
    <w:rsid w:val="00F865B8"/>
    <w:rsid w:val="00F90188"/>
    <w:rsid w:val="00FC60E7"/>
    <w:rsid w:val="00FE5776"/>
    <w:rsid w:val="00FF168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B3473E"/>
  <w14:defaultImageDpi w14:val="300"/>
  <w15:docId w15:val="{EAEEBF96-673E-4175-9D93-5197349F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5E16"/>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CC5E16"/>
    <w:rPr>
      <w:rFonts w:ascii="Lucida Grande" w:hAnsi="Lucida Grande"/>
      <w:sz w:val="18"/>
      <w:szCs w:val="18"/>
    </w:rPr>
  </w:style>
  <w:style w:type="character" w:customStyle="1" w:styleId="SprechblasentextZchn">
    <w:name w:val="Sprechblasentext Zchn"/>
    <w:link w:val="Sprechblasentext"/>
    <w:uiPriority w:val="99"/>
    <w:semiHidden/>
    <w:locked/>
    <w:rsid w:val="00E52484"/>
    <w:rPr>
      <w:rFonts w:ascii="Times New Roman" w:hAnsi="Times New Roman" w:cs="Times New Roman"/>
      <w:sz w:val="2"/>
      <w:lang w:val="de-DE"/>
    </w:rPr>
  </w:style>
  <w:style w:type="character" w:customStyle="1" w:styleId="Absatz-Standardschriftart1">
    <w:name w:val="Absatz-Standardschriftart1"/>
    <w:uiPriority w:val="99"/>
    <w:semiHidden/>
    <w:rsid w:val="00CC5E16"/>
  </w:style>
  <w:style w:type="paragraph" w:customStyle="1" w:styleId="Textkrper1">
    <w:name w:val="Textkörper1"/>
    <w:basedOn w:val="Standard"/>
    <w:uiPriority w:val="99"/>
    <w:rsid w:val="00D87C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312" w:lineRule="auto"/>
      <w:jc w:val="both"/>
    </w:pPr>
    <w:rPr>
      <w:rFonts w:ascii="FranklinGothic" w:hAnsi="FranklinGothic" w:cs="FranklinGothic"/>
      <w:sz w:val="20"/>
      <w:szCs w:val="20"/>
    </w:rPr>
  </w:style>
  <w:style w:type="paragraph" w:styleId="Kopfzeile">
    <w:name w:val="header"/>
    <w:basedOn w:val="Standard"/>
    <w:link w:val="KopfzeileZchn"/>
    <w:uiPriority w:val="99"/>
    <w:semiHidden/>
    <w:rsid w:val="00D87CA0"/>
    <w:pPr>
      <w:tabs>
        <w:tab w:val="center" w:pos="4703"/>
        <w:tab w:val="right" w:pos="9406"/>
      </w:tabs>
    </w:pPr>
  </w:style>
  <w:style w:type="character" w:customStyle="1" w:styleId="KopfzeileZchn">
    <w:name w:val="Kopfzeile Zchn"/>
    <w:link w:val="Kopfzeile"/>
    <w:uiPriority w:val="99"/>
    <w:semiHidden/>
    <w:locked/>
    <w:rsid w:val="00D87CA0"/>
    <w:rPr>
      <w:rFonts w:cs="Times New Roman"/>
      <w:sz w:val="24"/>
      <w:szCs w:val="24"/>
    </w:rPr>
  </w:style>
  <w:style w:type="paragraph" w:styleId="Fuzeile">
    <w:name w:val="footer"/>
    <w:basedOn w:val="Standard"/>
    <w:link w:val="FuzeileZchn"/>
    <w:uiPriority w:val="99"/>
    <w:semiHidden/>
    <w:rsid w:val="00D87CA0"/>
    <w:pPr>
      <w:tabs>
        <w:tab w:val="center" w:pos="4703"/>
        <w:tab w:val="right" w:pos="9406"/>
      </w:tabs>
    </w:pPr>
  </w:style>
  <w:style w:type="character" w:customStyle="1" w:styleId="FuzeileZchn">
    <w:name w:val="Fußzeile Zchn"/>
    <w:link w:val="Fuzeile"/>
    <w:uiPriority w:val="99"/>
    <w:semiHidden/>
    <w:locked/>
    <w:rsid w:val="00D87CA0"/>
    <w:rPr>
      <w:rFonts w:cs="Times New Roman"/>
      <w:sz w:val="24"/>
      <w:szCs w:val="24"/>
    </w:rPr>
  </w:style>
  <w:style w:type="table" w:styleId="Tabellenraster">
    <w:name w:val="Table Grid"/>
    <w:basedOn w:val="NormaleTabelle"/>
    <w:uiPriority w:val="99"/>
    <w:rsid w:val="00CC5E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einAbsatzformat">
    <w:name w:val="[Kein Absatzformat]"/>
    <w:uiPriority w:val="99"/>
    <w:rsid w:val="00CC5E16"/>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ADRESSENBLOCKFUSSZEILE">
    <w:name w:val="ADRESSENBLOCK FUSSZEILE"/>
    <w:basedOn w:val="KeinAbsatzformat"/>
    <w:uiPriority w:val="99"/>
    <w:rsid w:val="00CC5E16"/>
    <w:pPr>
      <w:tabs>
        <w:tab w:val="left" w:pos="2098"/>
        <w:tab w:val="right" w:pos="5255"/>
        <w:tab w:val="left" w:pos="6516"/>
      </w:tabs>
      <w:jc w:val="right"/>
    </w:pPr>
    <w:rPr>
      <w:rFonts w:ascii="FranklinGothicBook" w:hAnsi="FranklinGothicBook" w:cs="FranklinGothicBook"/>
      <w:spacing w:val="-1"/>
      <w:sz w:val="18"/>
      <w:szCs w:val="18"/>
    </w:rPr>
  </w:style>
  <w:style w:type="character" w:styleId="Seitenzahl">
    <w:name w:val="page number"/>
    <w:uiPriority w:val="99"/>
    <w:rsid w:val="00CC5E16"/>
    <w:rPr>
      <w:rFonts w:cs="Times New Roman"/>
    </w:rPr>
  </w:style>
  <w:style w:type="paragraph" w:styleId="NurText">
    <w:name w:val="Plain Text"/>
    <w:basedOn w:val="Standard"/>
    <w:link w:val="NurTextZchn"/>
    <w:uiPriority w:val="99"/>
    <w:rsid w:val="00F10B29"/>
    <w:rPr>
      <w:rFonts w:ascii="Consolas" w:hAnsi="Consolas"/>
      <w:sz w:val="21"/>
      <w:szCs w:val="21"/>
      <w:lang w:val="de-AT"/>
    </w:rPr>
  </w:style>
  <w:style w:type="character" w:customStyle="1" w:styleId="NurTextZchn">
    <w:name w:val="Nur Text Zchn"/>
    <w:link w:val="NurText"/>
    <w:uiPriority w:val="99"/>
    <w:locked/>
    <w:rsid w:val="00F10B29"/>
    <w:rPr>
      <w:rFonts w:ascii="Consolas" w:hAnsi="Consolas" w:cs="Times New Roman"/>
      <w:sz w:val="21"/>
      <w:szCs w:val="21"/>
      <w:lang w:eastAsia="en-US"/>
    </w:rPr>
  </w:style>
  <w:style w:type="paragraph" w:styleId="Listenabsatz">
    <w:name w:val="List Paragraph"/>
    <w:basedOn w:val="Standard"/>
    <w:uiPriority w:val="34"/>
    <w:qFormat/>
    <w:rsid w:val="00F10B29"/>
    <w:pPr>
      <w:spacing w:after="200" w:line="276" w:lineRule="auto"/>
      <w:ind w:left="720"/>
      <w:contextualSpacing/>
    </w:pPr>
    <w:rPr>
      <w:rFonts w:ascii="Calibri" w:hAnsi="Calibri"/>
      <w:sz w:val="22"/>
      <w:szCs w:val="22"/>
      <w:lang w:val="de-AT"/>
    </w:rPr>
  </w:style>
  <w:style w:type="paragraph" w:styleId="Funotentext">
    <w:name w:val="footnote text"/>
    <w:basedOn w:val="Standard"/>
    <w:link w:val="FunotentextZchn"/>
    <w:uiPriority w:val="99"/>
    <w:rsid w:val="00F10B29"/>
    <w:rPr>
      <w:rFonts w:ascii="Calibri" w:hAnsi="Calibri"/>
      <w:sz w:val="20"/>
      <w:szCs w:val="20"/>
      <w:lang w:val="de-AT"/>
    </w:rPr>
  </w:style>
  <w:style w:type="character" w:customStyle="1" w:styleId="FunotentextZchn">
    <w:name w:val="Fußnotentext Zchn"/>
    <w:link w:val="Funotentext"/>
    <w:uiPriority w:val="99"/>
    <w:locked/>
    <w:rsid w:val="00F10B29"/>
    <w:rPr>
      <w:rFonts w:ascii="Calibri" w:hAnsi="Calibri" w:cs="Times New Roman"/>
      <w:lang w:eastAsia="en-US"/>
    </w:rPr>
  </w:style>
  <w:style w:type="character" w:styleId="Funotenzeichen">
    <w:name w:val="footnote reference"/>
    <w:uiPriority w:val="99"/>
    <w:rsid w:val="00F10B29"/>
    <w:rPr>
      <w:rFonts w:cs="Times New Roman"/>
      <w:vertAlign w:val="superscript"/>
    </w:rPr>
  </w:style>
  <w:style w:type="paragraph" w:customStyle="1" w:styleId="yiv1270068412msonormal">
    <w:name w:val="yiv1270068412msonormal"/>
    <w:basedOn w:val="Standard"/>
    <w:uiPriority w:val="99"/>
    <w:rsid w:val="00F10B29"/>
    <w:rPr>
      <w:lang w:val="de-AT" w:eastAsia="de-AT"/>
    </w:rPr>
  </w:style>
  <w:style w:type="character" w:styleId="Hyperlink">
    <w:name w:val="Hyperlink"/>
    <w:uiPriority w:val="99"/>
    <w:rsid w:val="00707424"/>
    <w:rPr>
      <w:rFonts w:cs="Times New Roman"/>
      <w:color w:val="0000FF"/>
      <w:u w:val="single"/>
    </w:rPr>
  </w:style>
  <w:style w:type="paragraph" w:styleId="StandardWeb">
    <w:name w:val="Normal (Web)"/>
    <w:basedOn w:val="Standard"/>
    <w:unhideWhenUsed/>
    <w:rsid w:val="00C12ED5"/>
    <w:pPr>
      <w:spacing w:before="100" w:beforeAutospacing="1" w:after="100" w:afterAutospacing="1"/>
    </w:pPr>
    <w:rPr>
      <w:rFonts w:ascii="Times New Roman" w:eastAsia="Times New Roman" w:hAnsi="Times New Roman"/>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uni-graz.at/de/detail/article/harmonie-zur-heiligen-nach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nipub.uni-graz.at/oazuzt/periodical/pageview/1563854"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FA6B8-6041-4138-B3CF-41CEF2AEB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Mr</vt:lpstr>
    </vt:vector>
  </TitlesOfParts>
  <Company>Grafik&amp;Layout / Universität Graz</Company>
  <LinksUpToDate>false</LinksUpToDate>
  <CharactersWithSpaces>6155</CharactersWithSpaces>
  <SharedDoc>false</SharedDoc>
  <HLinks>
    <vt:vector size="18" baseType="variant">
      <vt:variant>
        <vt:i4>2359408</vt:i4>
      </vt:variant>
      <vt:variant>
        <vt:i4>6</vt:i4>
      </vt:variant>
      <vt:variant>
        <vt:i4>0</vt:i4>
      </vt:variant>
      <vt:variant>
        <vt:i4>5</vt:i4>
      </vt:variant>
      <vt:variant>
        <vt:lpwstr>mailto:matthias.kettemann@uni-graz.at</vt:lpwstr>
      </vt:variant>
      <vt:variant>
        <vt:lpwstr/>
      </vt:variant>
      <vt:variant>
        <vt:i4>54526054</vt:i4>
      </vt:variant>
      <vt:variant>
        <vt:i4>-1</vt:i4>
      </vt:variant>
      <vt:variant>
        <vt:i4>2052</vt:i4>
      </vt:variant>
      <vt:variant>
        <vt:i4>1</vt:i4>
      </vt:variant>
      <vt:variant>
        <vt:lpwstr>BRIEF_INSTITUT_FUER_ARCHÄOLOGIE_2</vt:lpwstr>
      </vt:variant>
      <vt:variant>
        <vt:lpwstr/>
      </vt:variant>
      <vt:variant>
        <vt:i4>53347083</vt:i4>
      </vt:variant>
      <vt:variant>
        <vt:i4>-1</vt:i4>
      </vt:variant>
      <vt:variant>
        <vt:i4>2058</vt:i4>
      </vt:variant>
      <vt:variant>
        <vt:i4>1</vt:i4>
      </vt:variant>
      <vt:variant>
        <vt:lpwstr>BRIEF_Institut für Völkerrecht-1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Roman Klug</dc:creator>
  <cp:lastModifiedBy>Administrator</cp:lastModifiedBy>
  <cp:revision>4</cp:revision>
  <cp:lastPrinted>2013-11-27T10:21:00Z</cp:lastPrinted>
  <dcterms:created xsi:type="dcterms:W3CDTF">2018-11-20T12:26:00Z</dcterms:created>
  <dcterms:modified xsi:type="dcterms:W3CDTF">2018-11-20T12:31:00Z</dcterms:modified>
</cp:coreProperties>
</file>