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A7" w:rsidRDefault="00F035A7" w:rsidP="009C1C39">
      <w:pPr>
        <w:spacing w:before="100" w:beforeAutospacing="1" w:after="100" w:afterAutospacing="1" w:line="240" w:lineRule="auto"/>
        <w:jc w:val="center"/>
        <w:outlineLvl w:val="1"/>
        <w:rPr>
          <w:rFonts w:eastAsia="Times New Roman" w:cs="Times New Roman"/>
          <w:b/>
          <w:bCs/>
          <w:sz w:val="24"/>
          <w:szCs w:val="24"/>
        </w:rPr>
      </w:pPr>
    </w:p>
    <w:p w:rsidR="00382BDC" w:rsidRPr="008C2BA9" w:rsidRDefault="009733F1" w:rsidP="00036B8A">
      <w:pPr>
        <w:pStyle w:val="Listenabsatz"/>
        <w:spacing w:after="0" w:line="360" w:lineRule="auto"/>
        <w:ind w:left="0"/>
        <w:jc w:val="center"/>
        <w:rPr>
          <w:rFonts w:ascii="Franklin Gothic Book" w:hAnsi="Franklin Gothic Book"/>
          <w:b/>
          <w:sz w:val="28"/>
          <w:szCs w:val="28"/>
          <w:lang w:val="en-GB"/>
        </w:rPr>
      </w:pPr>
      <w:r>
        <w:rPr>
          <w:rFonts w:ascii="Franklin Gothic Book" w:hAnsi="Franklin Gothic Book"/>
          <w:b/>
          <w:bCs/>
          <w:sz w:val="28"/>
          <w:szCs w:val="28"/>
          <w:lang w:val="en-GB"/>
        </w:rPr>
        <w:t>Application guidelines</w:t>
      </w:r>
    </w:p>
    <w:p w:rsidR="00F0030F" w:rsidRPr="008C2BA9" w:rsidRDefault="005E4706" w:rsidP="00F0030F">
      <w:pPr>
        <w:spacing w:after="0" w:line="240" w:lineRule="auto"/>
        <w:jc w:val="center"/>
        <w:outlineLvl w:val="1"/>
        <w:rPr>
          <w:rFonts w:eastAsia="Times New Roman" w:cs="Times New Roman"/>
          <w:b/>
          <w:bCs/>
          <w:sz w:val="24"/>
          <w:szCs w:val="24"/>
          <w:lang w:val="en-GB"/>
        </w:rPr>
      </w:pPr>
      <w:r>
        <w:rPr>
          <w:b/>
          <w:bCs/>
          <w:sz w:val="24"/>
          <w:szCs w:val="24"/>
          <w:lang w:val="en-GB"/>
        </w:rPr>
        <w:t>Admission of a Consortium to the Doctoral Academy Graz</w:t>
      </w:r>
    </w:p>
    <w:p w:rsidR="00F0030F" w:rsidRDefault="00F0030F" w:rsidP="00F0030F">
      <w:pPr>
        <w:spacing w:after="0" w:line="240" w:lineRule="auto"/>
        <w:jc w:val="center"/>
        <w:outlineLvl w:val="1"/>
        <w:rPr>
          <w:rFonts w:eastAsia="Times New Roman" w:cs="Times New Roman"/>
          <w:b/>
          <w:bCs/>
          <w:sz w:val="24"/>
          <w:szCs w:val="24"/>
          <w:lang w:val="en-GB"/>
        </w:rPr>
      </w:pPr>
    </w:p>
    <w:p w:rsidR="00F05C53" w:rsidRDefault="00F05C53" w:rsidP="00F0030F">
      <w:pPr>
        <w:spacing w:after="0" w:line="240" w:lineRule="auto"/>
        <w:jc w:val="center"/>
        <w:outlineLvl w:val="1"/>
        <w:rPr>
          <w:rFonts w:eastAsia="Times New Roman" w:cs="Times New Roman"/>
          <w:b/>
          <w:bCs/>
          <w:sz w:val="24"/>
          <w:szCs w:val="24"/>
          <w:lang w:val="en-GB"/>
        </w:rPr>
      </w:pPr>
    </w:p>
    <w:p w:rsidR="00F05C53" w:rsidRPr="008C2BA9" w:rsidRDefault="00F05C53" w:rsidP="00F0030F">
      <w:pPr>
        <w:spacing w:after="0" w:line="240" w:lineRule="auto"/>
        <w:jc w:val="center"/>
        <w:outlineLvl w:val="1"/>
        <w:rPr>
          <w:rFonts w:eastAsia="Times New Roman" w:cs="Times New Roman"/>
          <w:b/>
          <w:bCs/>
          <w:sz w:val="24"/>
          <w:szCs w:val="24"/>
          <w:lang w:val="en-GB"/>
        </w:rPr>
      </w:pPr>
    </w:p>
    <w:p w:rsidR="006B7AFF" w:rsidRPr="008C2BA9" w:rsidRDefault="006B7AFF" w:rsidP="00F0030F">
      <w:pPr>
        <w:spacing w:after="0" w:line="240" w:lineRule="auto"/>
        <w:jc w:val="center"/>
        <w:outlineLvl w:val="1"/>
        <w:rPr>
          <w:rFonts w:eastAsia="Times New Roman" w:cs="Times New Roman"/>
          <w:b/>
          <w:bCs/>
          <w:sz w:val="24"/>
          <w:szCs w:val="24"/>
          <w:lang w:val="en-GB"/>
        </w:rPr>
      </w:pPr>
    </w:p>
    <w:p w:rsidR="00650707" w:rsidRPr="008C2BA9" w:rsidRDefault="00650707" w:rsidP="009C1C39">
      <w:pPr>
        <w:spacing w:after="0" w:line="240" w:lineRule="auto"/>
        <w:jc w:val="both"/>
        <w:rPr>
          <w:rFonts w:eastAsia="Times New Roman" w:cs="Times New Roman"/>
          <w:lang w:val="en-GB"/>
        </w:rPr>
      </w:pPr>
      <w:r>
        <w:rPr>
          <w:rFonts w:eastAsia="Times New Roman" w:cs="Times New Roman"/>
          <w:b/>
          <w:bCs/>
          <w:lang w:val="en-GB"/>
        </w:rPr>
        <w:t>General information</w:t>
      </w:r>
    </w:p>
    <w:p w:rsidR="00650707" w:rsidRPr="008C2BA9" w:rsidRDefault="00150681" w:rsidP="009C1C39">
      <w:pPr>
        <w:spacing w:after="0" w:line="240" w:lineRule="auto"/>
        <w:jc w:val="both"/>
        <w:outlineLvl w:val="1"/>
        <w:rPr>
          <w:rFonts w:eastAsia="Times New Roman" w:cs="Times New Roman"/>
          <w:b/>
          <w:bCs/>
          <w:lang w:val="en-GB"/>
        </w:rPr>
      </w:pPr>
      <w:r>
        <w:rPr>
          <w:lang w:val="en-GB"/>
        </w:rPr>
        <w:t xml:space="preserve">The Doctoral Academy Graz provides an institutional framework for structured doctoral education including internationally funded doctoral colleges and programmes as well as research groups involving doctoral candidates. The aim is to specifically promote excellent doctoral candidates within structured educational programmes. </w:t>
      </w:r>
    </w:p>
    <w:p w:rsidR="009C1C39" w:rsidRPr="008C2BA9" w:rsidRDefault="009C1C39" w:rsidP="009C1C39">
      <w:pPr>
        <w:spacing w:after="0" w:line="240" w:lineRule="auto"/>
        <w:jc w:val="both"/>
        <w:outlineLvl w:val="1"/>
        <w:rPr>
          <w:rFonts w:eastAsia="Times New Roman" w:cs="Times New Roman"/>
          <w:b/>
          <w:bCs/>
          <w:lang w:val="en-GB"/>
        </w:rPr>
      </w:pPr>
    </w:p>
    <w:p w:rsidR="002C37D2" w:rsidRPr="008C2BA9" w:rsidRDefault="002C37D2" w:rsidP="009C1C39">
      <w:pPr>
        <w:spacing w:after="0" w:line="240" w:lineRule="auto"/>
        <w:jc w:val="both"/>
        <w:outlineLvl w:val="1"/>
        <w:rPr>
          <w:rFonts w:eastAsia="Times New Roman" w:cs="Times New Roman"/>
          <w:b/>
          <w:bCs/>
          <w:lang w:val="en-GB"/>
        </w:rPr>
      </w:pPr>
      <w:r>
        <w:rPr>
          <w:rFonts w:eastAsia="Times New Roman" w:cs="Times New Roman"/>
          <w:b/>
          <w:bCs/>
          <w:lang w:val="en-GB"/>
        </w:rPr>
        <w:t>Application requirements</w:t>
      </w:r>
    </w:p>
    <w:p w:rsidR="00C64733" w:rsidRPr="008C2BA9" w:rsidRDefault="002C1E83" w:rsidP="009C1C39">
      <w:pPr>
        <w:spacing w:after="0" w:line="240" w:lineRule="auto"/>
        <w:jc w:val="both"/>
        <w:rPr>
          <w:rFonts w:eastAsia="Times New Roman" w:cs="Times New Roman"/>
          <w:lang w:val="en-GB"/>
        </w:rPr>
      </w:pPr>
      <w:r>
        <w:rPr>
          <w:lang w:val="en-GB"/>
        </w:rPr>
        <w:t xml:space="preserve">Research Consortia with ten doctoral candidates (recommended number), a common </w:t>
      </w:r>
      <w:r w:rsidR="00853064">
        <w:rPr>
          <w:lang w:val="en-GB"/>
        </w:rPr>
        <w:t>training</w:t>
      </w:r>
      <w:r>
        <w:rPr>
          <w:lang w:val="en-GB"/>
        </w:rPr>
        <w:t xml:space="preserve"> programme as well as 50% third-party funding are eligible to apply. </w:t>
      </w:r>
    </w:p>
    <w:p w:rsidR="00330155" w:rsidRPr="008C2BA9" w:rsidRDefault="00330155" w:rsidP="009C1C39">
      <w:pPr>
        <w:spacing w:after="0" w:line="240" w:lineRule="auto"/>
        <w:jc w:val="both"/>
        <w:rPr>
          <w:rFonts w:eastAsia="Times New Roman" w:cs="Times New Roman"/>
          <w:lang w:val="en-GB"/>
        </w:rPr>
      </w:pPr>
    </w:p>
    <w:p w:rsidR="009733F1" w:rsidRPr="008C2BA9" w:rsidRDefault="009733F1" w:rsidP="009733F1">
      <w:pPr>
        <w:spacing w:after="0" w:line="240" w:lineRule="auto"/>
        <w:jc w:val="both"/>
        <w:outlineLvl w:val="1"/>
        <w:rPr>
          <w:rFonts w:eastAsia="Times New Roman" w:cs="Times New Roman"/>
          <w:b/>
          <w:bCs/>
          <w:lang w:val="en-GB"/>
        </w:rPr>
      </w:pPr>
      <w:r>
        <w:rPr>
          <w:rFonts w:eastAsia="Times New Roman" w:cs="Times New Roman"/>
          <w:b/>
          <w:bCs/>
          <w:lang w:val="en-GB"/>
        </w:rPr>
        <w:t>Composition of a Consortium</w:t>
      </w:r>
    </w:p>
    <w:p w:rsidR="009733F1" w:rsidRPr="008C2BA9" w:rsidRDefault="009733F1" w:rsidP="009733F1">
      <w:pPr>
        <w:spacing w:after="0" w:line="240" w:lineRule="auto"/>
        <w:jc w:val="both"/>
        <w:outlineLvl w:val="1"/>
        <w:rPr>
          <w:lang w:val="en-GB"/>
        </w:rPr>
      </w:pPr>
      <w:r>
        <w:rPr>
          <w:lang w:val="en-GB"/>
        </w:rPr>
        <w:t xml:space="preserve">A Consortium is composed of the Faculty (doctoral supervisors) and doctoral candidates. A spokesperson represents the Consortium externally. </w:t>
      </w:r>
    </w:p>
    <w:p w:rsidR="009733F1" w:rsidRPr="008C2BA9" w:rsidRDefault="009733F1" w:rsidP="009733F1">
      <w:pPr>
        <w:spacing w:after="0" w:line="240" w:lineRule="auto"/>
        <w:jc w:val="both"/>
        <w:outlineLvl w:val="1"/>
        <w:rPr>
          <w:lang w:val="en-GB"/>
        </w:rPr>
      </w:pPr>
      <w:r>
        <w:rPr>
          <w:lang w:val="en-GB"/>
        </w:rPr>
        <w:t>Collaboration with other universities at home and abroad is explicitly encouraged, with the total size of the Consortium (incl. doctoral candidates of the partner institutions) being crucial for the admission to the Doctoral Academy.</w:t>
      </w:r>
    </w:p>
    <w:p w:rsidR="009733F1" w:rsidRPr="008C2BA9" w:rsidRDefault="009733F1" w:rsidP="006B7AFF">
      <w:pPr>
        <w:spacing w:after="0" w:line="240" w:lineRule="auto"/>
        <w:jc w:val="both"/>
        <w:rPr>
          <w:rFonts w:eastAsia="Times New Roman" w:cs="Times New Roman"/>
          <w:lang w:val="en-GB"/>
        </w:rPr>
      </w:pPr>
    </w:p>
    <w:p w:rsidR="009733F1" w:rsidRPr="008C2BA9" w:rsidRDefault="00934EA8" w:rsidP="009733F1">
      <w:pPr>
        <w:spacing w:after="0" w:line="240" w:lineRule="auto"/>
        <w:jc w:val="both"/>
        <w:outlineLvl w:val="1"/>
        <w:rPr>
          <w:rFonts w:eastAsia="Times New Roman" w:cs="Times New Roman"/>
          <w:b/>
          <w:bCs/>
          <w:lang w:val="en-GB"/>
        </w:rPr>
      </w:pPr>
      <w:r>
        <w:rPr>
          <w:rFonts w:eastAsia="Times New Roman" w:cs="Times New Roman"/>
          <w:b/>
          <w:bCs/>
          <w:lang w:val="en-GB"/>
        </w:rPr>
        <w:t>Minimum number of doctoral candidates per Consortium</w:t>
      </w:r>
    </w:p>
    <w:p w:rsidR="009733F1" w:rsidRPr="008C2BA9" w:rsidRDefault="009733F1" w:rsidP="009733F1">
      <w:pPr>
        <w:pStyle w:val="Listenabsatz"/>
        <w:spacing w:after="0" w:line="240" w:lineRule="auto"/>
        <w:ind w:left="0"/>
        <w:jc w:val="both"/>
        <w:rPr>
          <w:lang w:val="en-GB"/>
        </w:rPr>
      </w:pPr>
      <w:r>
        <w:rPr>
          <w:lang w:val="en-GB"/>
        </w:rPr>
        <w:t xml:space="preserve">A Consortium of the Doctoral Academy consists of ten or more doctoral candidates (recommended number) and is to comprise at least seven doctoral candidates. </w:t>
      </w:r>
    </w:p>
    <w:p w:rsidR="009733F1" w:rsidRPr="008C2BA9" w:rsidRDefault="009733F1" w:rsidP="006B7AFF">
      <w:pPr>
        <w:spacing w:after="0" w:line="240" w:lineRule="auto"/>
        <w:jc w:val="both"/>
        <w:rPr>
          <w:rFonts w:eastAsia="Times New Roman" w:cs="Times New Roman"/>
          <w:lang w:val="en-GB"/>
        </w:rPr>
      </w:pPr>
    </w:p>
    <w:p w:rsidR="009733F1" w:rsidRPr="008C2BA9" w:rsidRDefault="009733F1" w:rsidP="009733F1">
      <w:pPr>
        <w:spacing w:after="0" w:line="240" w:lineRule="auto"/>
        <w:jc w:val="both"/>
        <w:outlineLvl w:val="1"/>
        <w:rPr>
          <w:rFonts w:eastAsia="Times New Roman" w:cs="Times New Roman"/>
          <w:b/>
          <w:bCs/>
          <w:lang w:val="en-GB"/>
        </w:rPr>
      </w:pPr>
      <w:r>
        <w:rPr>
          <w:rFonts w:eastAsia="Times New Roman" w:cs="Times New Roman"/>
          <w:b/>
          <w:bCs/>
          <w:lang w:val="en-GB"/>
        </w:rPr>
        <w:t>Minimum size of Faculty and supervisor-candidate ratio</w:t>
      </w:r>
    </w:p>
    <w:p w:rsidR="009733F1" w:rsidRPr="008C2BA9" w:rsidRDefault="009733F1" w:rsidP="009733F1">
      <w:pPr>
        <w:pStyle w:val="Listenabsatz"/>
        <w:spacing w:after="0" w:line="240" w:lineRule="auto"/>
        <w:ind w:left="0"/>
        <w:jc w:val="both"/>
        <w:rPr>
          <w:lang w:val="en-GB"/>
        </w:rPr>
      </w:pPr>
      <w:r>
        <w:rPr>
          <w:lang w:val="en-GB"/>
        </w:rPr>
        <w:t>The Faculty of a Consortium consists of at least five members, who usually supervise two doctoral candidates each.</w:t>
      </w:r>
    </w:p>
    <w:p w:rsidR="009733F1" w:rsidRPr="008C2BA9" w:rsidRDefault="009733F1" w:rsidP="006B7AFF">
      <w:pPr>
        <w:spacing w:after="0" w:line="240" w:lineRule="auto"/>
        <w:jc w:val="both"/>
        <w:rPr>
          <w:rFonts w:eastAsia="Times New Roman" w:cs="Times New Roman"/>
          <w:lang w:val="en-GB"/>
        </w:rPr>
      </w:pPr>
    </w:p>
    <w:p w:rsidR="009733F1" w:rsidRPr="008C2BA9" w:rsidRDefault="009733F1" w:rsidP="009733F1">
      <w:pPr>
        <w:spacing w:after="0" w:line="240" w:lineRule="auto"/>
        <w:jc w:val="both"/>
        <w:outlineLvl w:val="1"/>
        <w:rPr>
          <w:rFonts w:eastAsia="Times New Roman" w:cs="Times New Roman"/>
          <w:lang w:val="en-GB"/>
        </w:rPr>
      </w:pPr>
      <w:r>
        <w:rPr>
          <w:rFonts w:eastAsia="Times New Roman" w:cs="Times New Roman"/>
          <w:b/>
          <w:bCs/>
          <w:lang w:val="en-GB"/>
        </w:rPr>
        <w:t>Recruitment</w:t>
      </w:r>
    </w:p>
    <w:p w:rsidR="009733F1" w:rsidRPr="008C2BA9" w:rsidRDefault="009733F1" w:rsidP="009733F1">
      <w:pPr>
        <w:spacing w:after="0" w:line="240" w:lineRule="auto"/>
        <w:jc w:val="both"/>
        <w:outlineLvl w:val="1"/>
        <w:rPr>
          <w:rFonts w:eastAsia="Times New Roman" w:cs="Times New Roman"/>
          <w:lang w:val="en-GB"/>
        </w:rPr>
      </w:pPr>
      <w:r>
        <w:rPr>
          <w:rFonts w:eastAsia="Times New Roman" w:cs="Times New Roman"/>
          <w:lang w:val="en-GB"/>
        </w:rPr>
        <w:t>Doctoral candidates are recruited internationally.</w:t>
      </w:r>
    </w:p>
    <w:p w:rsidR="009733F1" w:rsidRPr="008C2BA9" w:rsidRDefault="009733F1" w:rsidP="009733F1">
      <w:pPr>
        <w:spacing w:after="0" w:line="240" w:lineRule="auto"/>
        <w:jc w:val="both"/>
        <w:outlineLvl w:val="1"/>
        <w:rPr>
          <w:rFonts w:eastAsia="Times New Roman" w:cs="Times New Roman"/>
          <w:lang w:val="en-GB"/>
        </w:rPr>
      </w:pPr>
      <w:r>
        <w:rPr>
          <w:rFonts w:eastAsia="Times New Roman" w:cs="Times New Roman"/>
          <w:lang w:val="en-GB"/>
        </w:rPr>
        <w:t>The standards for the publication of vacancies for academic staff (prae-docs) apply. In addition to general databases such as EURAXESS, open positions will be advertised in certain professionally relevant organisations and databases.</w:t>
      </w:r>
    </w:p>
    <w:p w:rsidR="007920FD" w:rsidRPr="008C2BA9" w:rsidRDefault="007920FD" w:rsidP="009733F1">
      <w:pPr>
        <w:spacing w:after="0" w:line="240" w:lineRule="auto"/>
        <w:jc w:val="both"/>
        <w:outlineLvl w:val="1"/>
        <w:rPr>
          <w:rFonts w:eastAsia="Times New Roman" w:cs="Times New Roman"/>
          <w:lang w:val="en-GB"/>
        </w:rPr>
      </w:pPr>
      <w:r>
        <w:rPr>
          <w:lang w:val="en-GB"/>
        </w:rPr>
        <w:t>The University of Graz aims to increase the proportion of women, in particular in management and academic staff, and therefore particularly encourages qualified women to apply.</w:t>
      </w:r>
    </w:p>
    <w:p w:rsidR="007920FD" w:rsidRPr="008C2BA9" w:rsidRDefault="007920FD" w:rsidP="009733F1">
      <w:pPr>
        <w:spacing w:after="0" w:line="240" w:lineRule="auto"/>
        <w:jc w:val="both"/>
        <w:outlineLvl w:val="1"/>
        <w:rPr>
          <w:rFonts w:eastAsia="Times New Roman" w:cs="Times New Roman"/>
          <w:lang w:val="en-GB"/>
        </w:rPr>
      </w:pPr>
    </w:p>
    <w:p w:rsidR="00F05C53" w:rsidRDefault="00F05C53">
      <w:pPr>
        <w:rPr>
          <w:rFonts w:eastAsia="Times New Roman" w:cs="Times New Roman"/>
          <w:b/>
          <w:bCs/>
          <w:lang w:val="en-GB"/>
        </w:rPr>
      </w:pPr>
      <w:r>
        <w:rPr>
          <w:rFonts w:eastAsia="Times New Roman" w:cs="Times New Roman"/>
          <w:b/>
          <w:bCs/>
          <w:lang w:val="en-GB"/>
        </w:rPr>
        <w:br w:type="page"/>
      </w:r>
    </w:p>
    <w:p w:rsidR="00BF1B15" w:rsidRDefault="00BF1B15" w:rsidP="009733F1">
      <w:pPr>
        <w:spacing w:after="0" w:line="240" w:lineRule="auto"/>
        <w:jc w:val="both"/>
        <w:outlineLvl w:val="1"/>
        <w:rPr>
          <w:rFonts w:eastAsia="Times New Roman" w:cs="Times New Roman"/>
          <w:b/>
          <w:bCs/>
          <w:lang w:val="en-GB"/>
        </w:rPr>
      </w:pPr>
    </w:p>
    <w:p w:rsidR="009733F1" w:rsidRPr="008C2BA9" w:rsidRDefault="00F05C53" w:rsidP="009733F1">
      <w:pPr>
        <w:spacing w:after="0" w:line="240" w:lineRule="auto"/>
        <w:jc w:val="both"/>
        <w:outlineLvl w:val="1"/>
        <w:rPr>
          <w:rFonts w:eastAsia="Times New Roman" w:cs="Times New Roman"/>
          <w:b/>
          <w:bCs/>
          <w:lang w:val="en-GB"/>
        </w:rPr>
      </w:pPr>
      <w:r>
        <w:rPr>
          <w:rFonts w:eastAsia="Times New Roman" w:cs="Times New Roman"/>
          <w:b/>
          <w:bCs/>
          <w:lang w:val="en-GB"/>
        </w:rPr>
        <w:t>E</w:t>
      </w:r>
      <w:r w:rsidR="009733F1">
        <w:rPr>
          <w:rFonts w:eastAsia="Times New Roman" w:cs="Times New Roman"/>
          <w:b/>
          <w:bCs/>
          <w:lang w:val="en-GB"/>
        </w:rPr>
        <w:t>xternally-evaluated research funds</w:t>
      </w:r>
    </w:p>
    <w:p w:rsidR="009733F1" w:rsidRPr="008C2BA9" w:rsidRDefault="009733F1" w:rsidP="009733F1">
      <w:pPr>
        <w:spacing w:after="0" w:line="240" w:lineRule="auto"/>
        <w:jc w:val="both"/>
        <w:outlineLvl w:val="1"/>
        <w:rPr>
          <w:rFonts w:eastAsia="Times New Roman" w:cs="Times New Roman"/>
          <w:lang w:val="en-GB"/>
        </w:rPr>
      </w:pPr>
      <w:r>
        <w:rPr>
          <w:rFonts w:eastAsia="Times New Roman" w:cs="Times New Roman"/>
          <w:lang w:val="en-GB"/>
        </w:rPr>
        <w:t xml:space="preserve">At least 50% of the doctoral candidates in a Consortium are financed by externally-evaluated </w:t>
      </w:r>
      <w:r w:rsidR="00751A2E">
        <w:rPr>
          <w:rFonts w:eastAsia="Times New Roman" w:cs="Times New Roman"/>
          <w:lang w:val="en-GB"/>
        </w:rPr>
        <w:t xml:space="preserve">third party </w:t>
      </w:r>
      <w:r>
        <w:rPr>
          <w:rFonts w:eastAsia="Times New Roman" w:cs="Times New Roman"/>
          <w:lang w:val="en-GB"/>
        </w:rPr>
        <w:t xml:space="preserve">funded projects (FWF, EU etc.). </w:t>
      </w:r>
    </w:p>
    <w:p w:rsidR="009733F1" w:rsidRPr="008C2BA9" w:rsidRDefault="00F618E1" w:rsidP="009733F1">
      <w:pPr>
        <w:spacing w:after="0" w:line="240" w:lineRule="auto"/>
        <w:jc w:val="both"/>
        <w:outlineLvl w:val="1"/>
        <w:rPr>
          <w:rFonts w:eastAsia="Times New Roman" w:cs="Times New Roman"/>
          <w:lang w:val="en-GB"/>
        </w:rPr>
      </w:pPr>
      <w:r>
        <w:rPr>
          <w:rFonts w:eastAsia="Times New Roman" w:cs="Times New Roman"/>
          <w:lang w:val="en-GB"/>
        </w:rPr>
        <w:t xml:space="preserve">The duration of employment is three to four years. The level of employment amounts to at least 50% (target 75%). </w:t>
      </w:r>
    </w:p>
    <w:p w:rsidR="009733F1" w:rsidRPr="008C2BA9" w:rsidRDefault="009733F1" w:rsidP="009733F1">
      <w:pPr>
        <w:spacing w:after="0" w:line="240" w:lineRule="auto"/>
        <w:jc w:val="both"/>
        <w:outlineLvl w:val="1"/>
        <w:rPr>
          <w:rFonts w:eastAsia="Times New Roman" w:cs="Times New Roman"/>
          <w:lang w:val="en-GB"/>
        </w:rPr>
      </w:pPr>
      <w:r>
        <w:rPr>
          <w:rFonts w:eastAsia="Times New Roman" w:cs="Times New Roman"/>
          <w:lang w:val="en-GB"/>
        </w:rPr>
        <w:t xml:space="preserve">As a rule, every doctoral supervisor has at least one externally-funded doctoral candidate. </w:t>
      </w:r>
    </w:p>
    <w:p w:rsidR="00F05C53" w:rsidRDefault="00F05C53" w:rsidP="009C1C39">
      <w:pPr>
        <w:spacing w:after="0" w:line="240" w:lineRule="auto"/>
        <w:jc w:val="both"/>
        <w:outlineLvl w:val="1"/>
        <w:rPr>
          <w:lang w:val="en-GB"/>
        </w:rPr>
      </w:pPr>
    </w:p>
    <w:p w:rsidR="00AA0A44" w:rsidRPr="00F05C53" w:rsidRDefault="00F05C53" w:rsidP="009C1C39">
      <w:pPr>
        <w:spacing w:after="0" w:line="240" w:lineRule="auto"/>
        <w:jc w:val="both"/>
        <w:outlineLvl w:val="1"/>
        <w:rPr>
          <w:rFonts w:eastAsia="Times New Roman" w:cs="Times New Roman"/>
          <w:b/>
          <w:bCs/>
          <w:lang w:val="en-US"/>
        </w:rPr>
      </w:pPr>
      <w:r w:rsidRPr="00F05C53">
        <w:rPr>
          <w:lang w:val="en-US"/>
        </w:rPr>
        <w:t>Applying consortia not funded by a nationally and/or internationally recognised funding institution (FWF, EU etc.) have to prove that they are following international standards in doctoral education by handing in two recommendation letters by international experts in the respective discipline/area of research.</w:t>
      </w:r>
    </w:p>
    <w:p w:rsidR="0010265F" w:rsidRPr="008C2BA9" w:rsidRDefault="0010265F" w:rsidP="007922A6">
      <w:pPr>
        <w:spacing w:after="0" w:line="240" w:lineRule="auto"/>
        <w:jc w:val="both"/>
        <w:outlineLvl w:val="1"/>
        <w:rPr>
          <w:rFonts w:eastAsia="Times New Roman" w:cs="Times New Roman"/>
          <w:b/>
          <w:bCs/>
          <w:lang w:val="en-GB"/>
        </w:rPr>
      </w:pPr>
    </w:p>
    <w:p w:rsidR="007922A6" w:rsidRPr="008C2BA9" w:rsidRDefault="007922A6" w:rsidP="007922A6">
      <w:pPr>
        <w:spacing w:after="0" w:line="240" w:lineRule="auto"/>
        <w:jc w:val="both"/>
        <w:outlineLvl w:val="1"/>
        <w:rPr>
          <w:rFonts w:eastAsia="Times New Roman" w:cs="Times New Roman"/>
          <w:b/>
          <w:bCs/>
          <w:lang w:val="en-GB"/>
        </w:rPr>
      </w:pPr>
      <w:r>
        <w:rPr>
          <w:rFonts w:eastAsia="Times New Roman" w:cs="Times New Roman"/>
          <w:b/>
          <w:bCs/>
          <w:lang w:val="en-GB"/>
        </w:rPr>
        <w:t>High-quality training programme</w:t>
      </w:r>
    </w:p>
    <w:p w:rsidR="007922A6" w:rsidRPr="008C2BA9" w:rsidRDefault="007922A6" w:rsidP="00F05C53">
      <w:pPr>
        <w:pStyle w:val="Listenabsatz"/>
        <w:spacing w:after="0" w:line="240" w:lineRule="auto"/>
        <w:ind w:left="0"/>
        <w:jc w:val="both"/>
        <w:rPr>
          <w:rFonts w:eastAsia="Times New Roman" w:cs="Times New Roman"/>
          <w:lang w:val="en-GB"/>
        </w:rPr>
      </w:pPr>
      <w:r>
        <w:rPr>
          <w:rFonts w:eastAsia="Times New Roman" w:cs="Times New Roman"/>
          <w:lang w:val="en-GB"/>
        </w:rPr>
        <w:t>In order to ensure research-intensive and future-oriented training, the following elements should be considered: completion of a supervision agreement outlining targets to be met by the doctoral candidate and the doctoral supervisor in the first year of study; ensuring regular exchanges between members of the Faculty and doctoral candidates; fostering international relations (research visits, joint seminars, external peers); promoting participation in activities related to the scientific community (publications, organisation of/participation in conferences, guest lectures, summer schools etc.); participation in the activities of the programme, as well as in the activities organised by the respective department/research centre; offering opportunities to acquire general transferable skills.</w:t>
      </w:r>
    </w:p>
    <w:p w:rsidR="007922A6" w:rsidRDefault="007922A6" w:rsidP="00F05C53">
      <w:pPr>
        <w:pStyle w:val="Listenabsatz"/>
        <w:spacing w:after="0" w:line="240" w:lineRule="auto"/>
        <w:ind w:left="0"/>
        <w:rPr>
          <w:rFonts w:eastAsia="Times New Roman" w:cs="Times New Roman"/>
          <w:lang w:val="en-GB"/>
        </w:rPr>
      </w:pPr>
    </w:p>
    <w:p w:rsidR="00F05C53" w:rsidRPr="00F05C53" w:rsidRDefault="00F05C53" w:rsidP="00F05C53">
      <w:pPr>
        <w:spacing w:after="0" w:line="240" w:lineRule="auto"/>
        <w:jc w:val="both"/>
        <w:outlineLvl w:val="1"/>
        <w:rPr>
          <w:rFonts w:eastAsia="Times New Roman" w:cs="Times New Roman"/>
          <w:b/>
          <w:bCs/>
          <w:lang w:val="en-GB"/>
        </w:rPr>
      </w:pPr>
      <w:r w:rsidRPr="00F05C53">
        <w:rPr>
          <w:rFonts w:eastAsia="Times New Roman" w:cs="Times New Roman"/>
          <w:b/>
          <w:bCs/>
          <w:lang w:val="en-GB"/>
        </w:rPr>
        <w:t>Sustainability</w:t>
      </w:r>
    </w:p>
    <w:p w:rsidR="00F05C53" w:rsidRDefault="00F05C53" w:rsidP="00F05C53">
      <w:pPr>
        <w:pStyle w:val="Listenabsatz"/>
        <w:spacing w:after="0" w:line="240" w:lineRule="auto"/>
        <w:ind w:left="0"/>
        <w:jc w:val="both"/>
        <w:rPr>
          <w:rFonts w:eastAsia="Times New Roman" w:cs="Times New Roman"/>
          <w:lang w:val="en-GB"/>
        </w:rPr>
      </w:pPr>
      <w:r w:rsidRPr="00F05C53">
        <w:rPr>
          <w:rFonts w:eastAsia="Times New Roman" w:cs="Times New Roman"/>
          <w:lang w:val="en-GB"/>
        </w:rPr>
        <w:t>Applying consortia have to describe in the application their potential for future third-party funding as well as their planned measures regarding alumni relations and tracking.</w:t>
      </w:r>
    </w:p>
    <w:p w:rsidR="00F05C53" w:rsidRPr="00F05C53" w:rsidRDefault="00F05C53" w:rsidP="00F05C53">
      <w:pPr>
        <w:pStyle w:val="Listenabsatz"/>
        <w:spacing w:after="0" w:line="240" w:lineRule="auto"/>
        <w:ind w:left="0"/>
        <w:jc w:val="both"/>
        <w:rPr>
          <w:rFonts w:eastAsia="Times New Roman" w:cs="Times New Roman"/>
          <w:lang w:val="en-GB"/>
        </w:rPr>
      </w:pPr>
    </w:p>
    <w:p w:rsidR="002C37D2" w:rsidRPr="008C2BA9" w:rsidRDefault="00AA0A44" w:rsidP="009C1C39">
      <w:pPr>
        <w:spacing w:after="0" w:line="240" w:lineRule="auto"/>
        <w:jc w:val="both"/>
        <w:outlineLvl w:val="1"/>
        <w:rPr>
          <w:rFonts w:eastAsia="Times New Roman" w:cs="Times New Roman"/>
          <w:b/>
          <w:bCs/>
          <w:lang w:val="en-GB"/>
        </w:rPr>
      </w:pPr>
      <w:r>
        <w:rPr>
          <w:rFonts w:eastAsia="Times New Roman" w:cs="Times New Roman"/>
          <w:b/>
          <w:bCs/>
          <w:lang w:val="en-GB"/>
        </w:rPr>
        <w:t>Application</w:t>
      </w:r>
    </w:p>
    <w:p w:rsidR="00AA0A44" w:rsidRPr="008C2BA9" w:rsidRDefault="002C1E83" w:rsidP="009C1C39">
      <w:pPr>
        <w:spacing w:after="0" w:line="240" w:lineRule="auto"/>
        <w:jc w:val="both"/>
        <w:rPr>
          <w:rFonts w:eastAsia="Times New Roman" w:cs="Times New Roman"/>
          <w:lang w:val="en-GB"/>
        </w:rPr>
      </w:pPr>
      <w:r>
        <w:rPr>
          <w:rFonts w:eastAsia="Times New Roman" w:cs="Times New Roman"/>
          <w:lang w:val="en-GB"/>
        </w:rPr>
        <w:t xml:space="preserve">Completed application documents must be sent as a Pdf document to the Doctoral Academy </w:t>
      </w:r>
      <w:r w:rsidR="00E57843">
        <w:rPr>
          <w:rFonts w:eastAsia="Times New Roman" w:cs="Times New Roman"/>
          <w:lang w:val="en-GB"/>
        </w:rPr>
        <w:t xml:space="preserve">by email </w:t>
      </w:r>
      <w:r>
        <w:rPr>
          <w:rFonts w:eastAsia="Times New Roman" w:cs="Times New Roman"/>
          <w:lang w:val="en-GB"/>
        </w:rPr>
        <w:t>(</w:t>
      </w:r>
      <w:hyperlink r:id="rId8" w:history="1">
        <w:r w:rsidR="00E57843" w:rsidRPr="0099563A">
          <w:rPr>
            <w:rStyle w:val="Hyperlink"/>
            <w:rFonts w:eastAsia="Times New Roman" w:cs="Times New Roman"/>
            <w:lang w:val="en-GB"/>
          </w:rPr>
          <w:t>doctoral-academy@uni-graz.at</w:t>
        </w:r>
      </w:hyperlink>
      <w:r>
        <w:rPr>
          <w:rFonts w:eastAsia="Times New Roman" w:cs="Times New Roman"/>
          <w:lang w:val="en-GB"/>
        </w:rPr>
        <w:t>).</w:t>
      </w:r>
      <w:r w:rsidR="00E57843">
        <w:rPr>
          <w:rFonts w:eastAsia="Times New Roman" w:cs="Times New Roman"/>
          <w:lang w:val="en-GB"/>
        </w:rPr>
        <w:t xml:space="preserve"> </w:t>
      </w:r>
    </w:p>
    <w:p w:rsidR="002C1E83" w:rsidRPr="008C2BA9" w:rsidRDefault="002C1E83" w:rsidP="009C1C39">
      <w:pPr>
        <w:spacing w:after="0" w:line="240" w:lineRule="auto"/>
        <w:jc w:val="both"/>
        <w:rPr>
          <w:rFonts w:eastAsia="Times New Roman" w:cs="Times New Roman"/>
          <w:lang w:val="en-GB"/>
        </w:rPr>
      </w:pPr>
    </w:p>
    <w:p w:rsidR="002C1E83" w:rsidRPr="008C2BA9" w:rsidRDefault="002C1E83" w:rsidP="009C1C39">
      <w:pPr>
        <w:spacing w:after="0" w:line="240" w:lineRule="auto"/>
        <w:jc w:val="both"/>
        <w:rPr>
          <w:rFonts w:eastAsia="Times New Roman" w:cs="Times New Roman"/>
          <w:lang w:val="en-GB"/>
        </w:rPr>
      </w:pPr>
      <w:r>
        <w:rPr>
          <w:rFonts w:eastAsia="Times New Roman" w:cs="Times New Roman"/>
          <w:b/>
          <w:bCs/>
          <w:lang w:val="en-GB"/>
        </w:rPr>
        <w:t>The following documents must be submitted:</w:t>
      </w:r>
    </w:p>
    <w:p w:rsidR="002C1E83" w:rsidRPr="00E57843" w:rsidRDefault="00035E4C" w:rsidP="009C1C39">
      <w:pPr>
        <w:numPr>
          <w:ilvl w:val="0"/>
          <w:numId w:val="5"/>
        </w:numPr>
        <w:spacing w:after="0" w:line="240" w:lineRule="auto"/>
        <w:jc w:val="both"/>
        <w:rPr>
          <w:rFonts w:eastAsia="Times New Roman" w:cs="Times New Roman"/>
          <w:lang w:val="en-GB"/>
        </w:rPr>
      </w:pPr>
      <w:r>
        <w:rPr>
          <w:rFonts w:eastAsia="Times New Roman" w:cs="Times New Roman"/>
          <w:lang w:val="en-GB"/>
        </w:rPr>
        <w:t>Application form</w:t>
      </w:r>
    </w:p>
    <w:p w:rsidR="002C1E83" w:rsidRPr="00E57843" w:rsidRDefault="00035E4C" w:rsidP="009C1C39">
      <w:pPr>
        <w:numPr>
          <w:ilvl w:val="0"/>
          <w:numId w:val="5"/>
        </w:numPr>
        <w:spacing w:after="0" w:line="240" w:lineRule="auto"/>
        <w:jc w:val="both"/>
        <w:rPr>
          <w:rFonts w:eastAsia="Times New Roman" w:cs="Times New Roman"/>
          <w:lang w:val="en-GB"/>
        </w:rPr>
      </w:pPr>
      <w:r>
        <w:rPr>
          <w:rFonts w:eastAsia="Times New Roman" w:cs="Times New Roman"/>
          <w:lang w:val="en-GB"/>
        </w:rPr>
        <w:t>Any evidence</w:t>
      </w:r>
    </w:p>
    <w:p w:rsidR="00AA0A44" w:rsidRPr="00E57843" w:rsidRDefault="00AA0A44" w:rsidP="009C1C39">
      <w:pPr>
        <w:spacing w:after="0" w:line="240" w:lineRule="auto"/>
        <w:jc w:val="both"/>
        <w:rPr>
          <w:rFonts w:eastAsia="Times New Roman" w:cs="Times New Roman"/>
          <w:b/>
          <w:bCs/>
          <w:lang w:val="en-GB"/>
        </w:rPr>
      </w:pPr>
    </w:p>
    <w:p w:rsidR="002C37D2" w:rsidRPr="00E57843" w:rsidRDefault="002C37D2" w:rsidP="009C1C39">
      <w:pPr>
        <w:spacing w:after="0" w:line="240" w:lineRule="auto"/>
        <w:jc w:val="both"/>
        <w:outlineLvl w:val="1"/>
        <w:rPr>
          <w:rFonts w:eastAsia="Times New Roman" w:cs="Times New Roman"/>
          <w:b/>
          <w:bCs/>
          <w:lang w:val="en-GB"/>
        </w:rPr>
      </w:pPr>
      <w:r>
        <w:rPr>
          <w:rFonts w:eastAsia="Times New Roman" w:cs="Times New Roman"/>
          <w:b/>
          <w:bCs/>
          <w:lang w:val="en-GB"/>
        </w:rPr>
        <w:t>Application deadline</w:t>
      </w:r>
    </w:p>
    <w:p w:rsidR="00BF1B15" w:rsidRDefault="00BF1B15" w:rsidP="004F1E1A">
      <w:pPr>
        <w:numPr>
          <w:ilvl w:val="0"/>
          <w:numId w:val="6"/>
        </w:numPr>
        <w:spacing w:after="0" w:line="240" w:lineRule="auto"/>
        <w:ind w:left="360"/>
        <w:jc w:val="both"/>
        <w:rPr>
          <w:rFonts w:eastAsia="Times New Roman" w:cs="Times New Roman"/>
          <w:lang w:val="en-GB"/>
        </w:rPr>
      </w:pPr>
      <w:r w:rsidRPr="00BF1B15">
        <w:rPr>
          <w:rFonts w:eastAsia="Times New Roman" w:cs="Times New Roman"/>
          <w:lang w:val="en-GB"/>
        </w:rPr>
        <w:t>15</w:t>
      </w:r>
      <w:r w:rsidRPr="00BF1B15">
        <w:rPr>
          <w:rFonts w:eastAsia="Times New Roman" w:cs="Times New Roman"/>
          <w:vertAlign w:val="superscript"/>
          <w:lang w:val="en-GB"/>
        </w:rPr>
        <w:t>th</w:t>
      </w:r>
      <w:r w:rsidRPr="00BF1B15">
        <w:rPr>
          <w:rFonts w:eastAsia="Times New Roman" w:cs="Times New Roman"/>
          <w:lang w:val="en-GB"/>
        </w:rPr>
        <w:t xml:space="preserve"> of December </w:t>
      </w:r>
    </w:p>
    <w:p w:rsidR="00BF1B15" w:rsidRDefault="00BF1B15" w:rsidP="00BF1B15">
      <w:pPr>
        <w:spacing w:after="0" w:line="240" w:lineRule="auto"/>
        <w:jc w:val="both"/>
        <w:rPr>
          <w:rFonts w:eastAsia="Times New Roman" w:cs="Times New Roman"/>
          <w:lang w:val="en-GB"/>
        </w:rPr>
      </w:pPr>
    </w:p>
    <w:p w:rsidR="00BF1B15" w:rsidRPr="00DB3C19" w:rsidRDefault="00BF1B15" w:rsidP="00BF1B15">
      <w:pPr>
        <w:spacing w:after="0" w:line="240" w:lineRule="auto"/>
        <w:jc w:val="both"/>
        <w:outlineLvl w:val="1"/>
        <w:rPr>
          <w:rFonts w:eastAsia="Times New Roman" w:cs="Times New Roman"/>
          <w:b/>
          <w:bCs/>
          <w:lang w:eastAsia="de-AT"/>
        </w:rPr>
      </w:pPr>
      <w:r w:rsidRPr="00DB3C19">
        <w:rPr>
          <w:rFonts w:eastAsia="Times New Roman" w:cs="Times New Roman"/>
          <w:b/>
          <w:bCs/>
          <w:lang w:eastAsia="de-AT"/>
        </w:rPr>
        <w:t>Hearing</w:t>
      </w:r>
    </w:p>
    <w:p w:rsidR="00BF1B15" w:rsidRPr="00BF1B15" w:rsidRDefault="00986D67" w:rsidP="00BF1B15">
      <w:pPr>
        <w:spacing w:after="0" w:line="240" w:lineRule="auto"/>
        <w:jc w:val="both"/>
        <w:outlineLvl w:val="1"/>
        <w:rPr>
          <w:rFonts w:eastAsia="Times New Roman" w:cs="Times New Roman"/>
          <w:bCs/>
          <w:lang w:val="en-US" w:eastAsia="de-AT"/>
        </w:rPr>
      </w:pPr>
      <w:r>
        <w:rPr>
          <w:rFonts w:eastAsia="Times New Roman" w:cs="Times New Roman"/>
          <w:bCs/>
          <w:lang w:val="en-US" w:eastAsia="de-AT"/>
        </w:rPr>
        <w:t>If the application</w:t>
      </w:r>
      <w:r w:rsidR="00BF1B15" w:rsidRPr="00BF1B15">
        <w:rPr>
          <w:rFonts w:eastAsia="Times New Roman" w:cs="Times New Roman"/>
          <w:bCs/>
          <w:lang w:val="en-US" w:eastAsia="de-AT"/>
        </w:rPr>
        <w:t xml:space="preserve"> fulfil</w:t>
      </w:r>
      <w:r w:rsidR="00BF1B15">
        <w:rPr>
          <w:rFonts w:eastAsia="Times New Roman" w:cs="Times New Roman"/>
          <w:bCs/>
          <w:lang w:val="en-US" w:eastAsia="de-AT"/>
        </w:rPr>
        <w:t>l</w:t>
      </w:r>
      <w:r>
        <w:rPr>
          <w:rFonts w:eastAsia="Times New Roman" w:cs="Times New Roman"/>
          <w:bCs/>
          <w:lang w:val="en-US" w:eastAsia="de-AT"/>
        </w:rPr>
        <w:t>s</w:t>
      </w:r>
      <w:r w:rsidR="00BF1B15">
        <w:rPr>
          <w:rFonts w:eastAsia="Times New Roman" w:cs="Times New Roman"/>
          <w:bCs/>
          <w:lang w:val="en-US" w:eastAsia="de-AT"/>
        </w:rPr>
        <w:t xml:space="preserve"> the general admission criteria</w:t>
      </w:r>
      <w:r>
        <w:rPr>
          <w:rFonts w:eastAsia="Times New Roman" w:cs="Times New Roman"/>
          <w:bCs/>
          <w:lang w:val="en-US" w:eastAsia="de-AT"/>
        </w:rPr>
        <w:t xml:space="preserve"> the speaker of the applying consortium</w:t>
      </w:r>
      <w:r w:rsidR="00BF1B15" w:rsidRPr="00BF1B15">
        <w:rPr>
          <w:rFonts w:eastAsia="Times New Roman" w:cs="Times New Roman"/>
          <w:bCs/>
          <w:lang w:val="en-US" w:eastAsia="de-AT"/>
        </w:rPr>
        <w:t xml:space="preserve"> will be invited to present </w:t>
      </w:r>
      <w:r>
        <w:rPr>
          <w:rFonts w:eastAsia="Times New Roman" w:cs="Times New Roman"/>
          <w:bCs/>
          <w:lang w:val="en-US" w:eastAsia="de-AT"/>
        </w:rPr>
        <w:t>her/his consortium</w:t>
      </w:r>
      <w:r w:rsidR="00BF1B15" w:rsidRPr="00BF1B15">
        <w:rPr>
          <w:rFonts w:eastAsia="Times New Roman" w:cs="Times New Roman"/>
          <w:bCs/>
          <w:lang w:val="en-US" w:eastAsia="de-AT"/>
        </w:rPr>
        <w:t xml:space="preserve"> and answer question</w:t>
      </w:r>
      <w:r>
        <w:rPr>
          <w:rFonts w:eastAsia="Times New Roman" w:cs="Times New Roman"/>
          <w:bCs/>
          <w:lang w:val="en-US" w:eastAsia="de-AT"/>
        </w:rPr>
        <w:t>s</w:t>
      </w:r>
      <w:r w:rsidR="00BF1B15" w:rsidRPr="00BF1B15">
        <w:rPr>
          <w:rFonts w:eastAsia="Times New Roman" w:cs="Times New Roman"/>
          <w:bCs/>
          <w:lang w:val="en-US" w:eastAsia="de-AT"/>
        </w:rPr>
        <w:t xml:space="preserve"> </w:t>
      </w:r>
      <w:r w:rsidR="009D196E">
        <w:rPr>
          <w:rFonts w:eastAsia="Times New Roman" w:cs="Times New Roman"/>
          <w:bCs/>
          <w:lang w:val="en-US" w:eastAsia="de-AT"/>
        </w:rPr>
        <w:t>at a hearing with</w:t>
      </w:r>
      <w:bookmarkStart w:id="0" w:name="_GoBack"/>
      <w:bookmarkEnd w:id="0"/>
      <w:r w:rsidR="00BF1B15" w:rsidRPr="00BF1B15">
        <w:rPr>
          <w:rFonts w:eastAsia="Times New Roman" w:cs="Times New Roman"/>
          <w:bCs/>
          <w:lang w:val="en-US" w:eastAsia="de-AT"/>
        </w:rPr>
        <w:t xml:space="preserve"> the Internal Advisory Board. </w:t>
      </w:r>
    </w:p>
    <w:p w:rsidR="00BF1B15" w:rsidRPr="00BF1B15" w:rsidRDefault="00BF1B15">
      <w:pPr>
        <w:rPr>
          <w:rFonts w:eastAsia="Times New Roman" w:cs="Times New Roman"/>
          <w:b/>
          <w:bCs/>
          <w:lang w:val="en-US"/>
        </w:rPr>
      </w:pPr>
      <w:r w:rsidRPr="00BF1B15">
        <w:rPr>
          <w:rFonts w:eastAsia="Times New Roman" w:cs="Times New Roman"/>
          <w:b/>
          <w:bCs/>
          <w:lang w:val="en-US"/>
        </w:rPr>
        <w:br w:type="page"/>
      </w:r>
    </w:p>
    <w:p w:rsidR="00F0030F" w:rsidRPr="00BF1B15" w:rsidRDefault="00F0030F" w:rsidP="009C1C39">
      <w:pPr>
        <w:spacing w:after="0" w:line="240" w:lineRule="auto"/>
        <w:jc w:val="both"/>
        <w:outlineLvl w:val="1"/>
        <w:rPr>
          <w:rFonts w:eastAsia="Times New Roman" w:cs="Times New Roman"/>
          <w:b/>
          <w:bCs/>
          <w:lang w:val="en-US"/>
        </w:rPr>
      </w:pPr>
    </w:p>
    <w:p w:rsidR="002C37D2" w:rsidRPr="008C2BA9" w:rsidRDefault="00751A2E" w:rsidP="009C1C39">
      <w:pPr>
        <w:spacing w:after="0" w:line="240" w:lineRule="auto"/>
        <w:jc w:val="both"/>
        <w:outlineLvl w:val="1"/>
        <w:rPr>
          <w:rFonts w:eastAsia="Times New Roman" w:cs="Times New Roman"/>
          <w:b/>
          <w:bCs/>
          <w:lang w:val="en-GB"/>
        </w:rPr>
      </w:pPr>
      <w:r>
        <w:rPr>
          <w:rFonts w:eastAsia="Times New Roman" w:cs="Times New Roman"/>
          <w:b/>
          <w:bCs/>
          <w:lang w:val="en-GB"/>
        </w:rPr>
        <w:t>Funding regulations</w:t>
      </w:r>
    </w:p>
    <w:p w:rsidR="002C1E83" w:rsidRPr="008C2BA9" w:rsidRDefault="00457391" w:rsidP="009C1C39">
      <w:pPr>
        <w:spacing w:after="0" w:line="240" w:lineRule="auto"/>
        <w:jc w:val="both"/>
        <w:rPr>
          <w:rFonts w:eastAsia="Times New Roman" w:cs="Times New Roman"/>
          <w:lang w:val="en-GB"/>
        </w:rPr>
      </w:pPr>
      <w:r>
        <w:rPr>
          <w:lang w:val="en-GB"/>
        </w:rPr>
        <w:t>Funding is granted by the Rector’s Office on recommendation from the Director of the Doctoral Academy and in accordance with the available resources, while involving the Internal Advisory Board. Funding for doctoral candidates can be extended by up to one year when a reason is provided.</w:t>
      </w:r>
    </w:p>
    <w:p w:rsidR="002C1E83" w:rsidRPr="008C2BA9" w:rsidRDefault="00751A2E" w:rsidP="009C1C39">
      <w:pPr>
        <w:spacing w:after="0" w:line="240" w:lineRule="auto"/>
        <w:jc w:val="both"/>
        <w:rPr>
          <w:rFonts w:eastAsia="Times New Roman" w:cs="Times New Roman"/>
          <w:lang w:val="en-GB"/>
        </w:rPr>
      </w:pPr>
      <w:r>
        <w:rPr>
          <w:rFonts w:eastAsia="Times New Roman" w:cs="Times New Roman"/>
          <w:lang w:val="en-GB"/>
        </w:rPr>
        <w:t>Funding</w:t>
      </w:r>
      <w:r w:rsidR="002C1E83">
        <w:rPr>
          <w:rFonts w:eastAsia="Times New Roman" w:cs="Times New Roman"/>
          <w:lang w:val="en-GB"/>
        </w:rPr>
        <w:t xml:space="preserve"> criteria only apply to aspects of financing and training for junior researchers: Involvement of </w:t>
      </w:r>
      <w:r w:rsidR="00DD1ADF">
        <w:rPr>
          <w:rFonts w:eastAsia="Times New Roman" w:cs="Times New Roman"/>
          <w:lang w:val="en-GB"/>
        </w:rPr>
        <w:t>early stage</w:t>
      </w:r>
      <w:r w:rsidR="002C1E83">
        <w:rPr>
          <w:rFonts w:eastAsia="Times New Roman" w:cs="Times New Roman"/>
          <w:lang w:val="en-GB"/>
        </w:rPr>
        <w:t xml:space="preserve"> researchers in structured educational programmes, supervision in a team, high-quality training programme as well as the procurement of externally evaluated research funding.</w:t>
      </w:r>
    </w:p>
    <w:p w:rsidR="00F0030F" w:rsidRPr="008C2BA9" w:rsidRDefault="00F0030F" w:rsidP="009C1C39">
      <w:pPr>
        <w:spacing w:after="0" w:line="240" w:lineRule="auto"/>
        <w:jc w:val="both"/>
        <w:rPr>
          <w:rFonts w:eastAsia="Times New Roman" w:cs="Times New Roman"/>
          <w:lang w:val="en-GB"/>
        </w:rPr>
      </w:pPr>
    </w:p>
    <w:p w:rsidR="00F0030F" w:rsidRPr="008C2BA9" w:rsidRDefault="00F0030F" w:rsidP="00F0030F">
      <w:pPr>
        <w:spacing w:after="0" w:line="240" w:lineRule="auto"/>
        <w:jc w:val="center"/>
        <w:rPr>
          <w:rFonts w:eastAsia="Times New Roman" w:cs="Times New Roman"/>
          <w:lang w:val="en-GB"/>
        </w:rPr>
      </w:pPr>
      <w:r>
        <w:rPr>
          <w:rFonts w:eastAsia="Times New Roman" w:cs="Times New Roman"/>
          <w:lang w:val="en-GB"/>
        </w:rPr>
        <w:t>Director of the Doctoral Academy</w:t>
      </w:r>
    </w:p>
    <w:p w:rsidR="00F0030F" w:rsidRPr="008C2BA9" w:rsidRDefault="00F0030F" w:rsidP="00F0030F">
      <w:pPr>
        <w:spacing w:after="0" w:line="240" w:lineRule="auto"/>
        <w:jc w:val="center"/>
        <w:rPr>
          <w:rFonts w:eastAsia="Times New Roman" w:cs="Times New Roman"/>
          <w:lang w:val="en-GB"/>
        </w:rPr>
      </w:pPr>
      <w:r>
        <w:rPr>
          <w:rFonts w:eastAsia="Times New Roman" w:cs="Times New Roman"/>
          <w:lang w:val="en-GB"/>
        </w:rPr>
        <w:t>Scherrer</w:t>
      </w:r>
    </w:p>
    <w:sectPr w:rsidR="00F0030F" w:rsidRPr="008C2BA9" w:rsidSect="003337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34" w:rsidRDefault="00757934" w:rsidP="009C1C39">
      <w:pPr>
        <w:spacing w:after="0" w:line="240" w:lineRule="auto"/>
      </w:pPr>
      <w:r>
        <w:separator/>
      </w:r>
    </w:p>
  </w:endnote>
  <w:endnote w:type="continuationSeparator" w:id="0">
    <w:p w:rsidR="00757934" w:rsidRDefault="00757934" w:rsidP="009C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CF" w:rsidRDefault="00E531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CF" w:rsidRDefault="00E531C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CF" w:rsidRDefault="00E531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34" w:rsidRDefault="00757934" w:rsidP="009C1C39">
      <w:pPr>
        <w:spacing w:after="0" w:line="240" w:lineRule="auto"/>
      </w:pPr>
      <w:r>
        <w:separator/>
      </w:r>
    </w:p>
  </w:footnote>
  <w:footnote w:type="continuationSeparator" w:id="0">
    <w:p w:rsidR="00757934" w:rsidRDefault="00757934" w:rsidP="009C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CF" w:rsidRDefault="00E531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87" w:rsidRDefault="00E531CF">
    <w:pPr>
      <w:pStyle w:val="Kopfzeile"/>
      <w:jc w:val="right"/>
    </w:pPr>
    <w:r w:rsidRPr="00E531CF">
      <w:rPr>
        <w:noProof/>
        <w:lang w:eastAsia="de-AT"/>
      </w:rPr>
      <w:drawing>
        <wp:inline distT="0" distB="0" distL="0" distR="0">
          <wp:extent cx="5760720" cy="1009611"/>
          <wp:effectExtent l="0" t="0" r="0" b="0"/>
          <wp:docPr id="1" name="Grafik 1" descr="Y:\DocService\AP14 - Doctoral Academy\01 Projektstrukturplan\Logo\Logo Uni Graz Doctoral Academy Graz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Service\AP14 - Doctoral Academy\01 Projektstrukturplan\Logo\Logo Uni Graz Doctoral Academy Graz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961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CF" w:rsidRDefault="00E531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AB3"/>
    <w:multiLevelType w:val="multilevel"/>
    <w:tmpl w:val="DC20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145DC"/>
    <w:multiLevelType w:val="multilevel"/>
    <w:tmpl w:val="7C60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F11F0"/>
    <w:multiLevelType w:val="multilevel"/>
    <w:tmpl w:val="9DD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516AD"/>
    <w:multiLevelType w:val="multilevel"/>
    <w:tmpl w:val="48F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173A9"/>
    <w:multiLevelType w:val="multilevel"/>
    <w:tmpl w:val="C6D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A146D"/>
    <w:multiLevelType w:val="multilevel"/>
    <w:tmpl w:val="8B24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7B53"/>
    <w:multiLevelType w:val="multilevel"/>
    <w:tmpl w:val="C44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37D2"/>
    <w:rsid w:val="00035E4C"/>
    <w:rsid w:val="00036B8A"/>
    <w:rsid w:val="000619C2"/>
    <w:rsid w:val="000D7E22"/>
    <w:rsid w:val="000F2E30"/>
    <w:rsid w:val="0010265F"/>
    <w:rsid w:val="00150681"/>
    <w:rsid w:val="00162B8C"/>
    <w:rsid w:val="001B7E08"/>
    <w:rsid w:val="002A25C8"/>
    <w:rsid w:val="002B40DC"/>
    <w:rsid w:val="002C1E83"/>
    <w:rsid w:val="002C37D2"/>
    <w:rsid w:val="002E10C7"/>
    <w:rsid w:val="00310DE8"/>
    <w:rsid w:val="00330155"/>
    <w:rsid w:val="00333778"/>
    <w:rsid w:val="00334324"/>
    <w:rsid w:val="00382BDC"/>
    <w:rsid w:val="00395E45"/>
    <w:rsid w:val="003F26C3"/>
    <w:rsid w:val="00433AB2"/>
    <w:rsid w:val="00457391"/>
    <w:rsid w:val="004D624E"/>
    <w:rsid w:val="005E4706"/>
    <w:rsid w:val="00650707"/>
    <w:rsid w:val="006A150C"/>
    <w:rsid w:val="006B7AFF"/>
    <w:rsid w:val="006C4859"/>
    <w:rsid w:val="006D10E4"/>
    <w:rsid w:val="00727DD7"/>
    <w:rsid w:val="00751A2E"/>
    <w:rsid w:val="007544AB"/>
    <w:rsid w:val="00757934"/>
    <w:rsid w:val="0076380C"/>
    <w:rsid w:val="00764144"/>
    <w:rsid w:val="007920FD"/>
    <w:rsid w:val="007922A6"/>
    <w:rsid w:val="007E7A74"/>
    <w:rsid w:val="00832BB7"/>
    <w:rsid w:val="00853064"/>
    <w:rsid w:val="00886ABE"/>
    <w:rsid w:val="00892987"/>
    <w:rsid w:val="008974B1"/>
    <w:rsid w:val="008C2BA9"/>
    <w:rsid w:val="008C72A6"/>
    <w:rsid w:val="00934EA8"/>
    <w:rsid w:val="009733F1"/>
    <w:rsid w:val="00986D67"/>
    <w:rsid w:val="009A483D"/>
    <w:rsid w:val="009C1C39"/>
    <w:rsid w:val="009C36F6"/>
    <w:rsid w:val="009D196E"/>
    <w:rsid w:val="009E4232"/>
    <w:rsid w:val="00A404BC"/>
    <w:rsid w:val="00A9708E"/>
    <w:rsid w:val="00AA0A44"/>
    <w:rsid w:val="00AF7550"/>
    <w:rsid w:val="00B3407C"/>
    <w:rsid w:val="00B54E01"/>
    <w:rsid w:val="00BC5EE4"/>
    <w:rsid w:val="00BF1B15"/>
    <w:rsid w:val="00C14C4B"/>
    <w:rsid w:val="00C25FCC"/>
    <w:rsid w:val="00C64733"/>
    <w:rsid w:val="00C653D9"/>
    <w:rsid w:val="00D4181E"/>
    <w:rsid w:val="00DB1226"/>
    <w:rsid w:val="00DD1ADF"/>
    <w:rsid w:val="00DD3F41"/>
    <w:rsid w:val="00E236B9"/>
    <w:rsid w:val="00E531CF"/>
    <w:rsid w:val="00E539C9"/>
    <w:rsid w:val="00E57843"/>
    <w:rsid w:val="00EA4362"/>
    <w:rsid w:val="00ED5148"/>
    <w:rsid w:val="00F0030F"/>
    <w:rsid w:val="00F035A7"/>
    <w:rsid w:val="00F05C53"/>
    <w:rsid w:val="00F618E1"/>
    <w:rsid w:val="00F71229"/>
    <w:rsid w:val="00F90C04"/>
    <w:rsid w:val="00FB1CC0"/>
    <w:rsid w:val="00FC72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1AD8B-950F-4D38-8A98-34DB7A5C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0DC"/>
  </w:style>
  <w:style w:type="paragraph" w:styleId="berschrift2">
    <w:name w:val="heading 2"/>
    <w:basedOn w:val="Standard"/>
    <w:link w:val="berschrift2Zchn"/>
    <w:uiPriority w:val="9"/>
    <w:qFormat/>
    <w:rsid w:val="002C37D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37D2"/>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2C37D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C37D2"/>
    <w:rPr>
      <w:b/>
      <w:bCs/>
    </w:rPr>
  </w:style>
  <w:style w:type="character" w:styleId="Hyperlink">
    <w:name w:val="Hyperlink"/>
    <w:basedOn w:val="Absatz-Standardschriftart"/>
    <w:uiPriority w:val="99"/>
    <w:unhideWhenUsed/>
    <w:rsid w:val="002C37D2"/>
    <w:rPr>
      <w:color w:val="0000FF"/>
      <w:u w:val="single"/>
    </w:rPr>
  </w:style>
  <w:style w:type="character" w:styleId="Kommentarzeichen">
    <w:name w:val="annotation reference"/>
    <w:basedOn w:val="Absatz-Standardschriftart"/>
    <w:uiPriority w:val="99"/>
    <w:semiHidden/>
    <w:unhideWhenUsed/>
    <w:rsid w:val="002C37D2"/>
    <w:rPr>
      <w:sz w:val="16"/>
      <w:szCs w:val="16"/>
    </w:rPr>
  </w:style>
  <w:style w:type="paragraph" w:styleId="Kommentartext">
    <w:name w:val="annotation text"/>
    <w:basedOn w:val="Standard"/>
    <w:link w:val="KommentartextZchn"/>
    <w:uiPriority w:val="99"/>
    <w:semiHidden/>
    <w:unhideWhenUsed/>
    <w:rsid w:val="002C3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7D2"/>
    <w:rPr>
      <w:sz w:val="20"/>
      <w:szCs w:val="20"/>
    </w:rPr>
  </w:style>
  <w:style w:type="paragraph" w:styleId="Kommentarthema">
    <w:name w:val="annotation subject"/>
    <w:basedOn w:val="Kommentartext"/>
    <w:next w:val="Kommentartext"/>
    <w:link w:val="KommentarthemaZchn"/>
    <w:uiPriority w:val="99"/>
    <w:semiHidden/>
    <w:unhideWhenUsed/>
    <w:rsid w:val="002C37D2"/>
    <w:rPr>
      <w:b/>
      <w:bCs/>
    </w:rPr>
  </w:style>
  <w:style w:type="character" w:customStyle="1" w:styleId="KommentarthemaZchn">
    <w:name w:val="Kommentarthema Zchn"/>
    <w:basedOn w:val="KommentartextZchn"/>
    <w:link w:val="Kommentarthema"/>
    <w:uiPriority w:val="99"/>
    <w:semiHidden/>
    <w:rsid w:val="002C37D2"/>
    <w:rPr>
      <w:b/>
      <w:bCs/>
      <w:sz w:val="20"/>
      <w:szCs w:val="20"/>
    </w:rPr>
  </w:style>
  <w:style w:type="paragraph" w:styleId="Sprechblasentext">
    <w:name w:val="Balloon Text"/>
    <w:basedOn w:val="Standard"/>
    <w:link w:val="SprechblasentextZchn"/>
    <w:uiPriority w:val="99"/>
    <w:semiHidden/>
    <w:unhideWhenUsed/>
    <w:rsid w:val="002C37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7D2"/>
    <w:rPr>
      <w:rFonts w:ascii="Tahoma" w:hAnsi="Tahoma" w:cs="Tahoma"/>
      <w:sz w:val="16"/>
      <w:szCs w:val="16"/>
    </w:rPr>
  </w:style>
  <w:style w:type="paragraph" w:styleId="Listenabsatz">
    <w:name w:val="List Paragraph"/>
    <w:basedOn w:val="Standard"/>
    <w:uiPriority w:val="34"/>
    <w:qFormat/>
    <w:rsid w:val="002C1E83"/>
    <w:pPr>
      <w:ind w:left="720"/>
      <w:contextualSpacing/>
    </w:pPr>
  </w:style>
  <w:style w:type="paragraph" w:styleId="Kopfzeile">
    <w:name w:val="header"/>
    <w:basedOn w:val="Standard"/>
    <w:link w:val="KopfzeileZchn"/>
    <w:uiPriority w:val="99"/>
    <w:unhideWhenUsed/>
    <w:rsid w:val="009C1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C39"/>
  </w:style>
  <w:style w:type="paragraph" w:styleId="Fuzeile">
    <w:name w:val="footer"/>
    <w:basedOn w:val="Standard"/>
    <w:link w:val="FuzeileZchn"/>
    <w:uiPriority w:val="99"/>
    <w:unhideWhenUsed/>
    <w:rsid w:val="009C1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47947">
      <w:bodyDiv w:val="1"/>
      <w:marLeft w:val="0"/>
      <w:marRight w:val="0"/>
      <w:marTop w:val="0"/>
      <w:marBottom w:val="0"/>
      <w:divBdr>
        <w:top w:val="none" w:sz="0" w:space="0" w:color="auto"/>
        <w:left w:val="none" w:sz="0" w:space="0" w:color="auto"/>
        <w:bottom w:val="none" w:sz="0" w:space="0" w:color="auto"/>
        <w:right w:val="none" w:sz="0" w:space="0" w:color="auto"/>
      </w:divBdr>
      <w:divsChild>
        <w:div w:id="1557668024">
          <w:marLeft w:val="0"/>
          <w:marRight w:val="0"/>
          <w:marTop w:val="0"/>
          <w:marBottom w:val="0"/>
          <w:divBdr>
            <w:top w:val="none" w:sz="0" w:space="0" w:color="auto"/>
            <w:left w:val="none" w:sz="0" w:space="0" w:color="auto"/>
            <w:bottom w:val="none" w:sz="0" w:space="0" w:color="auto"/>
            <w:right w:val="none" w:sz="0" w:space="0" w:color="auto"/>
          </w:divBdr>
          <w:divsChild>
            <w:div w:id="882671177">
              <w:marLeft w:val="0"/>
              <w:marRight w:val="0"/>
              <w:marTop w:val="0"/>
              <w:marBottom w:val="0"/>
              <w:divBdr>
                <w:top w:val="none" w:sz="0" w:space="0" w:color="auto"/>
                <w:left w:val="none" w:sz="0" w:space="0" w:color="auto"/>
                <w:bottom w:val="none" w:sz="0" w:space="0" w:color="auto"/>
                <w:right w:val="none" w:sz="0" w:space="0" w:color="auto"/>
              </w:divBdr>
              <w:divsChild>
                <w:div w:id="1934776578">
                  <w:marLeft w:val="0"/>
                  <w:marRight w:val="0"/>
                  <w:marTop w:val="0"/>
                  <w:marBottom w:val="0"/>
                  <w:divBdr>
                    <w:top w:val="none" w:sz="0" w:space="0" w:color="auto"/>
                    <w:left w:val="none" w:sz="0" w:space="0" w:color="auto"/>
                    <w:bottom w:val="none" w:sz="0" w:space="0" w:color="auto"/>
                    <w:right w:val="none" w:sz="0" w:space="0" w:color="auto"/>
                  </w:divBdr>
                  <w:divsChild>
                    <w:div w:id="4629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9012">
          <w:marLeft w:val="0"/>
          <w:marRight w:val="0"/>
          <w:marTop w:val="0"/>
          <w:marBottom w:val="0"/>
          <w:divBdr>
            <w:top w:val="none" w:sz="0" w:space="0" w:color="auto"/>
            <w:left w:val="none" w:sz="0" w:space="0" w:color="auto"/>
            <w:bottom w:val="none" w:sz="0" w:space="0" w:color="auto"/>
            <w:right w:val="none" w:sz="0" w:space="0" w:color="auto"/>
          </w:divBdr>
          <w:divsChild>
            <w:div w:id="1284535697">
              <w:marLeft w:val="0"/>
              <w:marRight w:val="0"/>
              <w:marTop w:val="0"/>
              <w:marBottom w:val="0"/>
              <w:divBdr>
                <w:top w:val="none" w:sz="0" w:space="0" w:color="auto"/>
                <w:left w:val="none" w:sz="0" w:space="0" w:color="auto"/>
                <w:bottom w:val="none" w:sz="0" w:space="0" w:color="auto"/>
                <w:right w:val="none" w:sz="0" w:space="0" w:color="auto"/>
              </w:divBdr>
              <w:divsChild>
                <w:div w:id="1606500161">
                  <w:marLeft w:val="0"/>
                  <w:marRight w:val="0"/>
                  <w:marTop w:val="0"/>
                  <w:marBottom w:val="0"/>
                  <w:divBdr>
                    <w:top w:val="none" w:sz="0" w:space="0" w:color="auto"/>
                    <w:left w:val="none" w:sz="0" w:space="0" w:color="auto"/>
                    <w:bottom w:val="none" w:sz="0" w:space="0" w:color="auto"/>
                    <w:right w:val="none" w:sz="0" w:space="0" w:color="auto"/>
                  </w:divBdr>
                  <w:divsChild>
                    <w:div w:id="977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943">
          <w:marLeft w:val="0"/>
          <w:marRight w:val="0"/>
          <w:marTop w:val="0"/>
          <w:marBottom w:val="0"/>
          <w:divBdr>
            <w:top w:val="none" w:sz="0" w:space="0" w:color="auto"/>
            <w:left w:val="none" w:sz="0" w:space="0" w:color="auto"/>
            <w:bottom w:val="none" w:sz="0" w:space="0" w:color="auto"/>
            <w:right w:val="none" w:sz="0" w:space="0" w:color="auto"/>
          </w:divBdr>
          <w:divsChild>
            <w:div w:id="538586240">
              <w:marLeft w:val="0"/>
              <w:marRight w:val="0"/>
              <w:marTop w:val="0"/>
              <w:marBottom w:val="0"/>
              <w:divBdr>
                <w:top w:val="none" w:sz="0" w:space="0" w:color="auto"/>
                <w:left w:val="none" w:sz="0" w:space="0" w:color="auto"/>
                <w:bottom w:val="none" w:sz="0" w:space="0" w:color="auto"/>
                <w:right w:val="none" w:sz="0" w:space="0" w:color="auto"/>
              </w:divBdr>
              <w:divsChild>
                <w:div w:id="1146434865">
                  <w:marLeft w:val="0"/>
                  <w:marRight w:val="0"/>
                  <w:marTop w:val="0"/>
                  <w:marBottom w:val="0"/>
                  <w:divBdr>
                    <w:top w:val="none" w:sz="0" w:space="0" w:color="auto"/>
                    <w:left w:val="none" w:sz="0" w:space="0" w:color="auto"/>
                    <w:bottom w:val="none" w:sz="0" w:space="0" w:color="auto"/>
                    <w:right w:val="none" w:sz="0" w:space="0" w:color="auto"/>
                  </w:divBdr>
                  <w:divsChild>
                    <w:div w:id="445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3505">
          <w:marLeft w:val="0"/>
          <w:marRight w:val="0"/>
          <w:marTop w:val="0"/>
          <w:marBottom w:val="0"/>
          <w:divBdr>
            <w:top w:val="none" w:sz="0" w:space="0" w:color="auto"/>
            <w:left w:val="none" w:sz="0" w:space="0" w:color="auto"/>
            <w:bottom w:val="none" w:sz="0" w:space="0" w:color="auto"/>
            <w:right w:val="none" w:sz="0" w:space="0" w:color="auto"/>
          </w:divBdr>
          <w:divsChild>
            <w:div w:id="1252544187">
              <w:marLeft w:val="0"/>
              <w:marRight w:val="0"/>
              <w:marTop w:val="0"/>
              <w:marBottom w:val="0"/>
              <w:divBdr>
                <w:top w:val="none" w:sz="0" w:space="0" w:color="auto"/>
                <w:left w:val="none" w:sz="0" w:space="0" w:color="auto"/>
                <w:bottom w:val="none" w:sz="0" w:space="0" w:color="auto"/>
                <w:right w:val="none" w:sz="0" w:space="0" w:color="auto"/>
              </w:divBdr>
              <w:divsChild>
                <w:div w:id="1764952250">
                  <w:marLeft w:val="0"/>
                  <w:marRight w:val="0"/>
                  <w:marTop w:val="0"/>
                  <w:marBottom w:val="0"/>
                  <w:divBdr>
                    <w:top w:val="none" w:sz="0" w:space="0" w:color="auto"/>
                    <w:left w:val="none" w:sz="0" w:space="0" w:color="auto"/>
                    <w:bottom w:val="none" w:sz="0" w:space="0" w:color="auto"/>
                    <w:right w:val="none" w:sz="0" w:space="0" w:color="auto"/>
                  </w:divBdr>
                  <w:divsChild>
                    <w:div w:id="137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841">
          <w:marLeft w:val="0"/>
          <w:marRight w:val="0"/>
          <w:marTop w:val="0"/>
          <w:marBottom w:val="0"/>
          <w:divBdr>
            <w:top w:val="none" w:sz="0" w:space="0" w:color="auto"/>
            <w:left w:val="none" w:sz="0" w:space="0" w:color="auto"/>
            <w:bottom w:val="none" w:sz="0" w:space="0" w:color="auto"/>
            <w:right w:val="none" w:sz="0" w:space="0" w:color="auto"/>
          </w:divBdr>
          <w:divsChild>
            <w:div w:id="1101531936">
              <w:marLeft w:val="0"/>
              <w:marRight w:val="0"/>
              <w:marTop w:val="0"/>
              <w:marBottom w:val="0"/>
              <w:divBdr>
                <w:top w:val="none" w:sz="0" w:space="0" w:color="auto"/>
                <w:left w:val="none" w:sz="0" w:space="0" w:color="auto"/>
                <w:bottom w:val="none" w:sz="0" w:space="0" w:color="auto"/>
                <w:right w:val="none" w:sz="0" w:space="0" w:color="auto"/>
              </w:divBdr>
              <w:divsChild>
                <w:div w:id="136923530">
                  <w:marLeft w:val="0"/>
                  <w:marRight w:val="0"/>
                  <w:marTop w:val="0"/>
                  <w:marBottom w:val="0"/>
                  <w:divBdr>
                    <w:top w:val="none" w:sz="0" w:space="0" w:color="auto"/>
                    <w:left w:val="none" w:sz="0" w:space="0" w:color="auto"/>
                    <w:bottom w:val="none" w:sz="0" w:space="0" w:color="auto"/>
                    <w:right w:val="none" w:sz="0" w:space="0" w:color="auto"/>
                  </w:divBdr>
                  <w:divsChild>
                    <w:div w:id="9237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8714">
          <w:marLeft w:val="0"/>
          <w:marRight w:val="0"/>
          <w:marTop w:val="0"/>
          <w:marBottom w:val="0"/>
          <w:divBdr>
            <w:top w:val="none" w:sz="0" w:space="0" w:color="auto"/>
            <w:left w:val="none" w:sz="0" w:space="0" w:color="auto"/>
            <w:bottom w:val="none" w:sz="0" w:space="0" w:color="auto"/>
            <w:right w:val="none" w:sz="0" w:space="0" w:color="auto"/>
          </w:divBdr>
          <w:divsChild>
            <w:div w:id="1003624417">
              <w:marLeft w:val="0"/>
              <w:marRight w:val="0"/>
              <w:marTop w:val="0"/>
              <w:marBottom w:val="0"/>
              <w:divBdr>
                <w:top w:val="none" w:sz="0" w:space="0" w:color="auto"/>
                <w:left w:val="none" w:sz="0" w:space="0" w:color="auto"/>
                <w:bottom w:val="none" w:sz="0" w:space="0" w:color="auto"/>
                <w:right w:val="none" w:sz="0" w:space="0" w:color="auto"/>
              </w:divBdr>
              <w:divsChild>
                <w:div w:id="1091582528">
                  <w:marLeft w:val="0"/>
                  <w:marRight w:val="0"/>
                  <w:marTop w:val="0"/>
                  <w:marBottom w:val="0"/>
                  <w:divBdr>
                    <w:top w:val="none" w:sz="0" w:space="0" w:color="auto"/>
                    <w:left w:val="none" w:sz="0" w:space="0" w:color="auto"/>
                    <w:bottom w:val="none" w:sz="0" w:space="0" w:color="auto"/>
                    <w:right w:val="none" w:sz="0" w:space="0" w:color="auto"/>
                  </w:divBdr>
                  <w:divsChild>
                    <w:div w:id="1501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3073">
          <w:marLeft w:val="0"/>
          <w:marRight w:val="0"/>
          <w:marTop w:val="0"/>
          <w:marBottom w:val="0"/>
          <w:divBdr>
            <w:top w:val="none" w:sz="0" w:space="0" w:color="auto"/>
            <w:left w:val="none" w:sz="0" w:space="0" w:color="auto"/>
            <w:bottom w:val="none" w:sz="0" w:space="0" w:color="auto"/>
            <w:right w:val="none" w:sz="0" w:space="0" w:color="auto"/>
          </w:divBdr>
          <w:divsChild>
            <w:div w:id="50353995">
              <w:marLeft w:val="0"/>
              <w:marRight w:val="0"/>
              <w:marTop w:val="0"/>
              <w:marBottom w:val="0"/>
              <w:divBdr>
                <w:top w:val="none" w:sz="0" w:space="0" w:color="auto"/>
                <w:left w:val="none" w:sz="0" w:space="0" w:color="auto"/>
                <w:bottom w:val="none" w:sz="0" w:space="0" w:color="auto"/>
                <w:right w:val="none" w:sz="0" w:space="0" w:color="auto"/>
              </w:divBdr>
              <w:divsChild>
                <w:div w:id="1677878242">
                  <w:marLeft w:val="0"/>
                  <w:marRight w:val="0"/>
                  <w:marTop w:val="0"/>
                  <w:marBottom w:val="0"/>
                  <w:divBdr>
                    <w:top w:val="none" w:sz="0" w:space="0" w:color="auto"/>
                    <w:left w:val="none" w:sz="0" w:space="0" w:color="auto"/>
                    <w:bottom w:val="none" w:sz="0" w:space="0" w:color="auto"/>
                    <w:right w:val="none" w:sz="0" w:space="0" w:color="auto"/>
                  </w:divBdr>
                  <w:divsChild>
                    <w:div w:id="7254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555">
          <w:marLeft w:val="0"/>
          <w:marRight w:val="0"/>
          <w:marTop w:val="0"/>
          <w:marBottom w:val="0"/>
          <w:divBdr>
            <w:top w:val="none" w:sz="0" w:space="0" w:color="auto"/>
            <w:left w:val="none" w:sz="0" w:space="0" w:color="auto"/>
            <w:bottom w:val="none" w:sz="0" w:space="0" w:color="auto"/>
            <w:right w:val="none" w:sz="0" w:space="0" w:color="auto"/>
          </w:divBdr>
          <w:divsChild>
            <w:div w:id="897202169">
              <w:marLeft w:val="0"/>
              <w:marRight w:val="0"/>
              <w:marTop w:val="0"/>
              <w:marBottom w:val="0"/>
              <w:divBdr>
                <w:top w:val="none" w:sz="0" w:space="0" w:color="auto"/>
                <w:left w:val="none" w:sz="0" w:space="0" w:color="auto"/>
                <w:bottom w:val="none" w:sz="0" w:space="0" w:color="auto"/>
                <w:right w:val="none" w:sz="0" w:space="0" w:color="auto"/>
              </w:divBdr>
              <w:divsChild>
                <w:div w:id="1222135341">
                  <w:marLeft w:val="0"/>
                  <w:marRight w:val="0"/>
                  <w:marTop w:val="0"/>
                  <w:marBottom w:val="0"/>
                  <w:divBdr>
                    <w:top w:val="none" w:sz="0" w:space="0" w:color="auto"/>
                    <w:left w:val="none" w:sz="0" w:space="0" w:color="auto"/>
                    <w:bottom w:val="none" w:sz="0" w:space="0" w:color="auto"/>
                    <w:right w:val="none" w:sz="0" w:space="0" w:color="auto"/>
                  </w:divBdr>
                  <w:divsChild>
                    <w:div w:id="1046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6966">
          <w:marLeft w:val="0"/>
          <w:marRight w:val="0"/>
          <w:marTop w:val="0"/>
          <w:marBottom w:val="0"/>
          <w:divBdr>
            <w:top w:val="none" w:sz="0" w:space="0" w:color="auto"/>
            <w:left w:val="none" w:sz="0" w:space="0" w:color="auto"/>
            <w:bottom w:val="none" w:sz="0" w:space="0" w:color="auto"/>
            <w:right w:val="none" w:sz="0" w:space="0" w:color="auto"/>
          </w:divBdr>
          <w:divsChild>
            <w:div w:id="1558006789">
              <w:marLeft w:val="0"/>
              <w:marRight w:val="0"/>
              <w:marTop w:val="0"/>
              <w:marBottom w:val="0"/>
              <w:divBdr>
                <w:top w:val="none" w:sz="0" w:space="0" w:color="auto"/>
                <w:left w:val="none" w:sz="0" w:space="0" w:color="auto"/>
                <w:bottom w:val="none" w:sz="0" w:space="0" w:color="auto"/>
                <w:right w:val="none" w:sz="0" w:space="0" w:color="auto"/>
              </w:divBdr>
              <w:divsChild>
                <w:div w:id="212694143">
                  <w:marLeft w:val="0"/>
                  <w:marRight w:val="0"/>
                  <w:marTop w:val="0"/>
                  <w:marBottom w:val="0"/>
                  <w:divBdr>
                    <w:top w:val="none" w:sz="0" w:space="0" w:color="auto"/>
                    <w:left w:val="none" w:sz="0" w:space="0" w:color="auto"/>
                    <w:bottom w:val="none" w:sz="0" w:space="0" w:color="auto"/>
                    <w:right w:val="none" w:sz="0" w:space="0" w:color="auto"/>
                  </w:divBdr>
                  <w:divsChild>
                    <w:div w:id="1893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307">
          <w:marLeft w:val="0"/>
          <w:marRight w:val="0"/>
          <w:marTop w:val="0"/>
          <w:marBottom w:val="0"/>
          <w:divBdr>
            <w:top w:val="none" w:sz="0" w:space="0" w:color="auto"/>
            <w:left w:val="none" w:sz="0" w:space="0" w:color="auto"/>
            <w:bottom w:val="none" w:sz="0" w:space="0" w:color="auto"/>
            <w:right w:val="none" w:sz="0" w:space="0" w:color="auto"/>
          </w:divBdr>
          <w:divsChild>
            <w:div w:id="1428698417">
              <w:marLeft w:val="0"/>
              <w:marRight w:val="0"/>
              <w:marTop w:val="0"/>
              <w:marBottom w:val="0"/>
              <w:divBdr>
                <w:top w:val="none" w:sz="0" w:space="0" w:color="auto"/>
                <w:left w:val="none" w:sz="0" w:space="0" w:color="auto"/>
                <w:bottom w:val="none" w:sz="0" w:space="0" w:color="auto"/>
                <w:right w:val="none" w:sz="0" w:space="0" w:color="auto"/>
              </w:divBdr>
              <w:divsChild>
                <w:div w:id="15230872">
                  <w:marLeft w:val="0"/>
                  <w:marRight w:val="0"/>
                  <w:marTop w:val="0"/>
                  <w:marBottom w:val="0"/>
                  <w:divBdr>
                    <w:top w:val="none" w:sz="0" w:space="0" w:color="auto"/>
                    <w:left w:val="none" w:sz="0" w:space="0" w:color="auto"/>
                    <w:bottom w:val="none" w:sz="0" w:space="0" w:color="auto"/>
                    <w:right w:val="none" w:sz="0" w:space="0" w:color="auto"/>
                  </w:divBdr>
                  <w:divsChild>
                    <w:div w:id="10270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academy@uni-graz.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AA46-4CA5-4A96-8556-12FD8E26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Lerch</dc:creator>
  <cp:lastModifiedBy>Lind, Gerald (gerald.lind@uni-graz.at)</cp:lastModifiedBy>
  <cp:revision>11</cp:revision>
  <dcterms:created xsi:type="dcterms:W3CDTF">2016-10-17T08:16:00Z</dcterms:created>
  <dcterms:modified xsi:type="dcterms:W3CDTF">2018-03-07T09:31:00Z</dcterms:modified>
</cp:coreProperties>
</file>